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75B24" w14:textId="4DEC3F84" w:rsidR="00DF5648" w:rsidRPr="00DF5648" w:rsidRDefault="00DF5648" w:rsidP="00DF5648">
      <w:pPr>
        <w:jc w:val="center"/>
        <w:rPr>
          <w:rFonts w:ascii="Open Sans" w:hAnsi="Open Sans" w:cs="Open Sans"/>
          <w:color w:val="000000" w:themeColor="text1"/>
        </w:rPr>
      </w:pPr>
      <w:r w:rsidRPr="00DF5648">
        <w:rPr>
          <w:rFonts w:ascii="Open Sans" w:hAnsi="Open Sans" w:cs="Open Sans"/>
          <w:color w:val="000000" w:themeColor="text1"/>
        </w:rPr>
        <w:t>Respondent Services</w:t>
      </w:r>
    </w:p>
    <w:p w14:paraId="6AB23179" w14:textId="434B20A8" w:rsidR="00DF5648" w:rsidRPr="00DF5648" w:rsidRDefault="00DF5648" w:rsidP="00DF5648">
      <w:pPr>
        <w:jc w:val="center"/>
        <w:rPr>
          <w:rFonts w:ascii="Open Sans" w:hAnsi="Open Sans" w:cs="Open Sans"/>
          <w:color w:val="000000" w:themeColor="text1"/>
        </w:rPr>
      </w:pPr>
      <w:r w:rsidRPr="00DF5648">
        <w:rPr>
          <w:rFonts w:ascii="Open Sans" w:hAnsi="Open Sans" w:cs="Open Sans"/>
          <w:color w:val="000000" w:themeColor="text1"/>
        </w:rPr>
        <w:t>Information Collected from</w:t>
      </w:r>
      <w:r>
        <w:rPr>
          <w:rFonts w:ascii="Open Sans" w:hAnsi="Open Sans" w:cs="Open Sans"/>
          <w:color w:val="000000" w:themeColor="text1"/>
        </w:rPr>
        <w:t xml:space="preserve"> </w:t>
      </w:r>
      <w:r w:rsidRPr="00DF5648">
        <w:rPr>
          <w:rFonts w:ascii="Open Sans" w:hAnsi="Open Sans" w:cs="Open Sans"/>
          <w:color w:val="000000" w:themeColor="text1"/>
        </w:rPr>
        <w:t>National Listservs</w:t>
      </w:r>
    </w:p>
    <w:p w14:paraId="719A28B5" w14:textId="77777777" w:rsidR="00DF5648" w:rsidRPr="00DF5648" w:rsidRDefault="00DF5648" w:rsidP="00DF5648">
      <w:pPr>
        <w:jc w:val="center"/>
        <w:rPr>
          <w:rFonts w:ascii="Open Sans" w:hAnsi="Open Sans" w:cs="Open Sans"/>
          <w:color w:val="000000" w:themeColor="text1"/>
        </w:rPr>
      </w:pPr>
    </w:p>
    <w:p w14:paraId="474C2F9D" w14:textId="2E6B6E43" w:rsidR="00DF5648" w:rsidRPr="00DF5648" w:rsidRDefault="00DF5648" w:rsidP="00DF5648">
      <w:pPr>
        <w:jc w:val="center"/>
        <w:rPr>
          <w:rFonts w:ascii="Open Sans" w:hAnsi="Open Sans" w:cs="Open Sans"/>
          <w:color w:val="000000" w:themeColor="text1"/>
        </w:rPr>
      </w:pPr>
      <w:r w:rsidRPr="00DF5648">
        <w:rPr>
          <w:rFonts w:ascii="Open Sans" w:hAnsi="Open Sans" w:cs="Open Sans"/>
          <w:color w:val="000000" w:themeColor="text1"/>
        </w:rPr>
        <w:t>June 7, 2023</w:t>
      </w:r>
    </w:p>
    <w:p w14:paraId="2C49D641" w14:textId="77777777" w:rsidR="00DF5648" w:rsidRPr="00DF5648" w:rsidRDefault="00DF5648" w:rsidP="00DF5648">
      <w:pPr>
        <w:jc w:val="center"/>
        <w:rPr>
          <w:rFonts w:ascii="Open Sans" w:hAnsi="Open Sans" w:cs="Open Sans"/>
          <w:color w:val="000000" w:themeColor="text1"/>
        </w:rPr>
      </w:pPr>
    </w:p>
    <w:p w14:paraId="3F18DBCC" w14:textId="7D68EB89" w:rsidR="00DF5648" w:rsidRPr="00DF5648" w:rsidRDefault="00DF5648" w:rsidP="00DF5648">
      <w:pPr>
        <w:jc w:val="center"/>
        <w:rPr>
          <w:rFonts w:ascii="Open Sans" w:hAnsi="Open Sans" w:cs="Open Sans"/>
          <w:color w:val="000000" w:themeColor="text1"/>
        </w:rPr>
      </w:pPr>
      <w:r w:rsidRPr="00DF5648">
        <w:rPr>
          <w:rFonts w:ascii="Open Sans" w:hAnsi="Open Sans" w:cs="Open Sans"/>
          <w:color w:val="000000" w:themeColor="text1"/>
        </w:rPr>
        <w:t>Harassment Free NC</w:t>
      </w:r>
    </w:p>
    <w:p w14:paraId="539C2E25" w14:textId="77777777" w:rsidR="00DF5648" w:rsidRPr="00DF5648" w:rsidRDefault="00DF5648" w:rsidP="00DF5648">
      <w:pPr>
        <w:jc w:val="center"/>
        <w:rPr>
          <w:rFonts w:ascii="Open Sans" w:hAnsi="Open Sans" w:cs="Open Sans"/>
          <w:b/>
          <w:bCs/>
          <w:color w:val="000000" w:themeColor="text1"/>
          <w:u w:val="single"/>
        </w:rPr>
      </w:pPr>
    </w:p>
    <w:p w14:paraId="2D0CED70" w14:textId="472ABCC0" w:rsidR="00DF5648" w:rsidRP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t>Summary</w:t>
      </w:r>
    </w:p>
    <w:p w14:paraId="744DAC6D" w14:textId="4711159E" w:rsidR="00DF5648" w:rsidRPr="00DF5648" w:rsidRDefault="00DF5648" w:rsidP="00DF5648">
      <w:pPr>
        <w:pStyle w:val="ListParagraph"/>
        <w:numPr>
          <w:ilvl w:val="0"/>
          <w:numId w:val="4"/>
        </w:numPr>
        <w:rPr>
          <w:rFonts w:ascii="Open Sans" w:hAnsi="Open Sans" w:cs="Open Sans"/>
          <w:color w:val="000000" w:themeColor="text1"/>
        </w:rPr>
      </w:pPr>
      <w:r w:rsidRPr="00DF5648">
        <w:rPr>
          <w:rFonts w:ascii="Open Sans" w:hAnsi="Open Sans" w:cs="Open Sans"/>
          <w:color w:val="000000" w:themeColor="text1"/>
        </w:rPr>
        <w:t xml:space="preserve">Every campus and organization strongly opposed one person providing </w:t>
      </w:r>
      <w:r w:rsidR="004B2A50">
        <w:rPr>
          <w:rFonts w:ascii="Open Sans" w:hAnsi="Open Sans" w:cs="Open Sans"/>
          <w:color w:val="000000" w:themeColor="text1"/>
        </w:rPr>
        <w:t xml:space="preserve">survivor and respondent </w:t>
      </w:r>
      <w:r w:rsidRPr="00DF5648">
        <w:rPr>
          <w:rFonts w:ascii="Open Sans" w:hAnsi="Open Sans" w:cs="Open Sans"/>
          <w:color w:val="000000" w:themeColor="text1"/>
        </w:rPr>
        <w:t>services.</w:t>
      </w:r>
    </w:p>
    <w:p w14:paraId="210C7458" w14:textId="20FCA62B" w:rsidR="00DF5648" w:rsidRPr="00DF5648" w:rsidRDefault="00DF5648" w:rsidP="00DF5648">
      <w:pPr>
        <w:pStyle w:val="ListParagraph"/>
        <w:numPr>
          <w:ilvl w:val="0"/>
          <w:numId w:val="4"/>
        </w:numPr>
        <w:rPr>
          <w:rFonts w:ascii="Open Sans" w:hAnsi="Open Sans" w:cs="Open Sans"/>
          <w:color w:val="000000" w:themeColor="text1"/>
        </w:rPr>
      </w:pPr>
      <w:r>
        <w:rPr>
          <w:rFonts w:ascii="Open Sans" w:hAnsi="Open Sans" w:cs="Open Sans"/>
          <w:color w:val="000000" w:themeColor="text1"/>
        </w:rPr>
        <w:t>No one interpreted</w:t>
      </w:r>
      <w:r w:rsidRPr="00DF5648">
        <w:rPr>
          <w:rFonts w:ascii="Open Sans" w:hAnsi="Open Sans" w:cs="Open Sans"/>
          <w:color w:val="000000" w:themeColor="text1"/>
        </w:rPr>
        <w:t xml:space="preserve"> the Title IX regs to believe</w:t>
      </w:r>
      <w:r>
        <w:rPr>
          <w:rFonts w:ascii="Open Sans" w:hAnsi="Open Sans" w:cs="Open Sans"/>
          <w:color w:val="000000" w:themeColor="text1"/>
        </w:rPr>
        <w:t xml:space="preserve"> that</w:t>
      </w:r>
      <w:r w:rsidRPr="00DF5648">
        <w:rPr>
          <w:rFonts w:ascii="Open Sans" w:hAnsi="Open Sans" w:cs="Open Sans"/>
          <w:color w:val="000000" w:themeColor="text1"/>
        </w:rPr>
        <w:t xml:space="preserve"> </w:t>
      </w:r>
      <w:r w:rsidR="004B2A50">
        <w:rPr>
          <w:rFonts w:ascii="Open Sans" w:hAnsi="Open Sans" w:cs="Open Sans"/>
          <w:color w:val="000000" w:themeColor="text1"/>
        </w:rPr>
        <w:t>an institution</w:t>
      </w:r>
      <w:r w:rsidRPr="00DF5648">
        <w:rPr>
          <w:rFonts w:ascii="Open Sans" w:hAnsi="Open Sans" w:cs="Open Sans"/>
          <w:color w:val="000000" w:themeColor="text1"/>
        </w:rPr>
        <w:t xml:space="preserve"> must provide the same advocacy and support services for survivors and respondents; only that the TIX Coordinator would need to </w:t>
      </w:r>
      <w:r w:rsidR="004B2A50">
        <w:rPr>
          <w:rFonts w:ascii="Open Sans" w:hAnsi="Open Sans" w:cs="Open Sans"/>
          <w:color w:val="000000" w:themeColor="text1"/>
        </w:rPr>
        <w:t>provide equitable</w:t>
      </w:r>
      <w:r w:rsidRPr="00DF5648">
        <w:rPr>
          <w:rFonts w:ascii="Open Sans" w:hAnsi="Open Sans" w:cs="Open Sans"/>
          <w:color w:val="000000" w:themeColor="text1"/>
        </w:rPr>
        <w:t xml:space="preserve"> </w:t>
      </w:r>
      <w:r w:rsidR="004B2A50">
        <w:rPr>
          <w:rFonts w:ascii="Open Sans" w:hAnsi="Open Sans" w:cs="Open Sans"/>
          <w:color w:val="000000" w:themeColor="text1"/>
        </w:rPr>
        <w:t>services</w:t>
      </w:r>
      <w:r w:rsidRPr="00DF5648">
        <w:rPr>
          <w:rFonts w:ascii="Open Sans" w:hAnsi="Open Sans" w:cs="Open Sans"/>
          <w:color w:val="000000" w:themeColor="text1"/>
        </w:rPr>
        <w:t xml:space="preserve">. </w:t>
      </w:r>
    </w:p>
    <w:p w14:paraId="350D2F1B" w14:textId="600C82DB" w:rsidR="00DF5648" w:rsidRPr="00DF5648" w:rsidRDefault="00DF5648" w:rsidP="00DF5648">
      <w:pPr>
        <w:pStyle w:val="ListParagraph"/>
        <w:numPr>
          <w:ilvl w:val="0"/>
          <w:numId w:val="4"/>
        </w:numPr>
        <w:rPr>
          <w:rFonts w:ascii="Open Sans" w:hAnsi="Open Sans" w:cs="Open Sans"/>
          <w:color w:val="000000" w:themeColor="text1"/>
        </w:rPr>
      </w:pPr>
      <w:r w:rsidRPr="00DF5648">
        <w:rPr>
          <w:rFonts w:ascii="Open Sans" w:hAnsi="Open Sans" w:cs="Open Sans"/>
          <w:color w:val="000000" w:themeColor="text1"/>
        </w:rPr>
        <w:t xml:space="preserve">Of the campuses that offered respondent services (in addition to counseling and Title IX Coord), </w:t>
      </w:r>
      <w:r>
        <w:rPr>
          <w:rFonts w:ascii="Open Sans" w:hAnsi="Open Sans" w:cs="Open Sans"/>
          <w:color w:val="000000" w:themeColor="text1"/>
        </w:rPr>
        <w:t>they did it in this way:</w:t>
      </w:r>
      <w:r w:rsidRPr="00DF5648">
        <w:rPr>
          <w:rFonts w:ascii="Open Sans" w:hAnsi="Open Sans" w:cs="Open Sans"/>
          <w:color w:val="000000" w:themeColor="text1"/>
        </w:rPr>
        <w:t xml:space="preserve"> </w:t>
      </w:r>
    </w:p>
    <w:p w14:paraId="23E69B0A" w14:textId="3DC70AC0" w:rsidR="00DF5648" w:rsidRPr="00DF5648" w:rsidRDefault="00DF5648" w:rsidP="00DF5648">
      <w:pPr>
        <w:pStyle w:val="ListParagraph"/>
        <w:numPr>
          <w:ilvl w:val="1"/>
          <w:numId w:val="4"/>
        </w:numPr>
        <w:rPr>
          <w:rFonts w:ascii="Open Sans" w:hAnsi="Open Sans" w:cs="Open Sans"/>
          <w:color w:val="000000" w:themeColor="text1"/>
        </w:rPr>
      </w:pPr>
      <w:r w:rsidRPr="00DF5648">
        <w:rPr>
          <w:rFonts w:ascii="Open Sans" w:hAnsi="Open Sans" w:cs="Open Sans"/>
          <w:color w:val="000000" w:themeColor="text1"/>
        </w:rPr>
        <w:t xml:space="preserve">partnered with community organizations </w:t>
      </w:r>
      <w:r>
        <w:rPr>
          <w:rFonts w:ascii="Open Sans" w:hAnsi="Open Sans" w:cs="Open Sans"/>
          <w:color w:val="000000" w:themeColor="text1"/>
        </w:rPr>
        <w:t xml:space="preserve">to provide the </w:t>
      </w:r>
      <w:proofErr w:type="gramStart"/>
      <w:r>
        <w:rPr>
          <w:rFonts w:ascii="Open Sans" w:hAnsi="Open Sans" w:cs="Open Sans"/>
          <w:color w:val="000000" w:themeColor="text1"/>
        </w:rPr>
        <w:t>services</w:t>
      </w:r>
      <w:proofErr w:type="gramEnd"/>
    </w:p>
    <w:p w14:paraId="1DD1FEE4" w14:textId="31FE93A3" w:rsidR="00DF5648" w:rsidRPr="00DF5648" w:rsidRDefault="00DF5648" w:rsidP="00DF5648">
      <w:pPr>
        <w:pStyle w:val="ListParagraph"/>
        <w:numPr>
          <w:ilvl w:val="1"/>
          <w:numId w:val="4"/>
        </w:numPr>
        <w:rPr>
          <w:rFonts w:ascii="Open Sans" w:hAnsi="Open Sans" w:cs="Open Sans"/>
          <w:color w:val="000000" w:themeColor="text1"/>
        </w:rPr>
      </w:pPr>
      <w:r w:rsidRPr="00DF5648">
        <w:rPr>
          <w:rFonts w:ascii="Open Sans" w:hAnsi="Open Sans" w:cs="Open Sans"/>
          <w:color w:val="000000" w:themeColor="text1"/>
        </w:rPr>
        <w:t>Ha</w:t>
      </w:r>
      <w:r w:rsidR="004B2A50">
        <w:rPr>
          <w:rFonts w:ascii="Open Sans" w:hAnsi="Open Sans" w:cs="Open Sans"/>
          <w:color w:val="000000" w:themeColor="text1"/>
        </w:rPr>
        <w:t>d</w:t>
      </w:r>
      <w:r w:rsidRPr="00DF5648">
        <w:rPr>
          <w:rFonts w:ascii="Open Sans" w:hAnsi="Open Sans" w:cs="Open Sans"/>
          <w:color w:val="000000" w:themeColor="text1"/>
        </w:rPr>
        <w:t xml:space="preserve"> a pool of </w:t>
      </w:r>
      <w:r w:rsidRPr="00DF5648">
        <w:rPr>
          <w:rFonts w:ascii="Open Sans" w:hAnsi="Open Sans" w:cs="Open Sans"/>
          <w:b/>
          <w:bCs/>
          <w:color w:val="000000" w:themeColor="text1"/>
          <w:u w:val="single"/>
        </w:rPr>
        <w:t>trained</w:t>
      </w:r>
      <w:r w:rsidRPr="00DF5648">
        <w:rPr>
          <w:rFonts w:ascii="Open Sans" w:hAnsi="Open Sans" w:cs="Open Sans"/>
          <w:color w:val="000000" w:themeColor="text1"/>
        </w:rPr>
        <w:t xml:space="preserve"> process advisors that </w:t>
      </w:r>
      <w:r w:rsidR="004B2A50">
        <w:rPr>
          <w:rFonts w:ascii="Open Sans" w:hAnsi="Open Sans" w:cs="Open Sans"/>
          <w:color w:val="000000" w:themeColor="text1"/>
        </w:rPr>
        <w:t>could</w:t>
      </w:r>
      <w:r w:rsidRPr="00DF5648">
        <w:rPr>
          <w:rFonts w:ascii="Open Sans" w:hAnsi="Open Sans" w:cs="Open Sans"/>
          <w:color w:val="000000" w:themeColor="text1"/>
        </w:rPr>
        <w:t xml:space="preserve"> </w:t>
      </w:r>
      <w:r w:rsidR="004B2A50">
        <w:rPr>
          <w:rFonts w:ascii="Open Sans" w:hAnsi="Open Sans" w:cs="Open Sans"/>
          <w:color w:val="000000" w:themeColor="text1"/>
        </w:rPr>
        <w:t>are</w:t>
      </w:r>
      <w:r w:rsidRPr="00DF5648">
        <w:rPr>
          <w:rFonts w:ascii="Open Sans" w:hAnsi="Open Sans" w:cs="Open Sans"/>
          <w:color w:val="000000" w:themeColor="text1"/>
        </w:rPr>
        <w:t xml:space="preserve"> assigned to respondents (faculty/staff volunteer to serve in this role)</w:t>
      </w:r>
    </w:p>
    <w:p w14:paraId="11512659" w14:textId="6C2AEC87" w:rsidR="00DF5648" w:rsidRDefault="00DF5648" w:rsidP="00DF5648">
      <w:pPr>
        <w:pStyle w:val="ListParagraph"/>
        <w:numPr>
          <w:ilvl w:val="1"/>
          <w:numId w:val="4"/>
        </w:numPr>
        <w:rPr>
          <w:rFonts w:ascii="Open Sans" w:hAnsi="Open Sans" w:cs="Open Sans"/>
          <w:color w:val="000000" w:themeColor="text1"/>
        </w:rPr>
      </w:pPr>
      <w:r w:rsidRPr="00DF5648">
        <w:rPr>
          <w:rFonts w:ascii="Open Sans" w:hAnsi="Open Sans" w:cs="Open Sans"/>
          <w:color w:val="000000" w:themeColor="text1"/>
        </w:rPr>
        <w:t xml:space="preserve">Cornell University has </w:t>
      </w:r>
      <w:hyperlink r:id="rId7" w:history="1">
        <w:r w:rsidRPr="00DF5648">
          <w:rPr>
            <w:rStyle w:val="Hyperlink"/>
            <w:rFonts w:ascii="Open Sans" w:hAnsi="Open Sans" w:cs="Open Sans"/>
            <w:color w:val="000000" w:themeColor="text1"/>
          </w:rPr>
          <w:t>“Respondents Codes Counselors”</w:t>
        </w:r>
      </w:hyperlink>
      <w:r w:rsidRPr="00DF5648">
        <w:rPr>
          <w:rFonts w:ascii="Open Sans" w:hAnsi="Open Sans" w:cs="Open Sans"/>
          <w:color w:val="000000" w:themeColor="text1"/>
        </w:rPr>
        <w:t xml:space="preserve"> who are graduate students, usually law students who go through extensive training and are available to support respondents in TIX cases. </w:t>
      </w:r>
    </w:p>
    <w:p w14:paraId="7636373E" w14:textId="21BDE8FF" w:rsidR="004B2A50" w:rsidRPr="00DF5648" w:rsidRDefault="004B2A50" w:rsidP="00DF5648">
      <w:pPr>
        <w:pStyle w:val="ListParagraph"/>
        <w:numPr>
          <w:ilvl w:val="1"/>
          <w:numId w:val="4"/>
        </w:numPr>
        <w:rPr>
          <w:rFonts w:ascii="Open Sans" w:hAnsi="Open Sans" w:cs="Open Sans"/>
          <w:color w:val="000000" w:themeColor="text1"/>
        </w:rPr>
      </w:pPr>
      <w:r>
        <w:rPr>
          <w:rFonts w:ascii="Open Sans" w:hAnsi="Open Sans" w:cs="Open Sans"/>
          <w:color w:val="000000" w:themeColor="text1"/>
        </w:rPr>
        <w:t>Referred respondents to the Student Assistance Services office.</w:t>
      </w:r>
    </w:p>
    <w:p w14:paraId="67EF540F" w14:textId="7E97854B" w:rsidR="00DF5648" w:rsidRDefault="00DF5648" w:rsidP="00DF5648">
      <w:pPr>
        <w:pStyle w:val="ListParagraph"/>
        <w:numPr>
          <w:ilvl w:val="0"/>
          <w:numId w:val="4"/>
        </w:numPr>
        <w:rPr>
          <w:rFonts w:ascii="Open Sans" w:hAnsi="Open Sans" w:cs="Open Sans"/>
          <w:color w:val="000000" w:themeColor="text1"/>
        </w:rPr>
      </w:pPr>
      <w:r>
        <w:rPr>
          <w:rFonts w:ascii="Open Sans" w:hAnsi="Open Sans" w:cs="Open Sans"/>
          <w:color w:val="000000" w:themeColor="text1"/>
        </w:rPr>
        <w:t>Respondent services were usually defined as advocacy, accompaniment, and referrals.</w:t>
      </w:r>
    </w:p>
    <w:p w14:paraId="28AADD34" w14:textId="7CD78D09" w:rsidR="00DF5648" w:rsidRPr="00DF5648" w:rsidRDefault="00DF5648" w:rsidP="00DF5648">
      <w:pPr>
        <w:pStyle w:val="ListParagraph"/>
        <w:numPr>
          <w:ilvl w:val="0"/>
          <w:numId w:val="4"/>
        </w:numPr>
        <w:rPr>
          <w:rFonts w:ascii="Open Sans" w:hAnsi="Open Sans" w:cs="Open Sans"/>
          <w:color w:val="000000" w:themeColor="text1"/>
        </w:rPr>
      </w:pPr>
      <w:r w:rsidRPr="00DF5648">
        <w:rPr>
          <w:rFonts w:ascii="Open Sans" w:hAnsi="Open Sans" w:cs="Open Sans"/>
          <w:color w:val="000000" w:themeColor="text1"/>
        </w:rPr>
        <w:t xml:space="preserve">Campuses did not </w:t>
      </w:r>
      <w:r>
        <w:rPr>
          <w:rFonts w:ascii="Open Sans" w:hAnsi="Open Sans" w:cs="Open Sans"/>
          <w:color w:val="000000" w:themeColor="text1"/>
        </w:rPr>
        <w:t>experience</w:t>
      </w:r>
      <w:r w:rsidRPr="00DF5648">
        <w:rPr>
          <w:rFonts w:ascii="Open Sans" w:hAnsi="Open Sans" w:cs="Open Sans"/>
          <w:color w:val="000000" w:themeColor="text1"/>
        </w:rPr>
        <w:t xml:space="preserve"> respondent</w:t>
      </w:r>
      <w:r>
        <w:rPr>
          <w:rFonts w:ascii="Open Sans" w:hAnsi="Open Sans" w:cs="Open Sans"/>
          <w:color w:val="000000" w:themeColor="text1"/>
        </w:rPr>
        <w:t>s</w:t>
      </w:r>
      <w:r w:rsidRPr="00DF5648">
        <w:rPr>
          <w:rFonts w:ascii="Open Sans" w:hAnsi="Open Sans" w:cs="Open Sans"/>
          <w:color w:val="000000" w:themeColor="text1"/>
        </w:rPr>
        <w:t xml:space="preserve"> us</w:t>
      </w:r>
      <w:r>
        <w:rPr>
          <w:rFonts w:ascii="Open Sans" w:hAnsi="Open Sans" w:cs="Open Sans"/>
          <w:color w:val="000000" w:themeColor="text1"/>
        </w:rPr>
        <w:t>ing</w:t>
      </w:r>
      <w:r w:rsidRPr="00DF5648">
        <w:rPr>
          <w:rFonts w:ascii="Open Sans" w:hAnsi="Open Sans" w:cs="Open Sans"/>
          <w:color w:val="000000" w:themeColor="text1"/>
        </w:rPr>
        <w:t xml:space="preserve"> the services nearly to the level that survivors do as they seek out advocacy regardless of any formal complaints, hearings, or trials. </w:t>
      </w:r>
      <w:r w:rsidR="004B2A50" w:rsidRPr="00DF5648">
        <w:rPr>
          <w:rFonts w:ascii="Open Sans" w:hAnsi="Open Sans" w:cs="Open Sans"/>
          <w:color w:val="000000" w:themeColor="text1"/>
        </w:rPr>
        <w:t>So,</w:t>
      </w:r>
      <w:r w:rsidRPr="00DF5648">
        <w:rPr>
          <w:rFonts w:ascii="Open Sans" w:hAnsi="Open Sans" w:cs="Open Sans"/>
          <w:color w:val="000000" w:themeColor="text1"/>
        </w:rPr>
        <w:t xml:space="preserve"> adding</w:t>
      </w:r>
      <w:r>
        <w:rPr>
          <w:rFonts w:ascii="Open Sans" w:hAnsi="Open Sans" w:cs="Open Sans"/>
          <w:color w:val="000000" w:themeColor="text1"/>
        </w:rPr>
        <w:t xml:space="preserve"> respondent support</w:t>
      </w:r>
      <w:r w:rsidRPr="00DF5648">
        <w:rPr>
          <w:rFonts w:ascii="Open Sans" w:hAnsi="Open Sans" w:cs="Open Sans"/>
          <w:color w:val="000000" w:themeColor="text1"/>
        </w:rPr>
        <w:t xml:space="preserve"> to a current staff role</w:t>
      </w:r>
      <w:r>
        <w:rPr>
          <w:rFonts w:ascii="Open Sans" w:hAnsi="Open Sans" w:cs="Open Sans"/>
          <w:color w:val="000000" w:themeColor="text1"/>
        </w:rPr>
        <w:t>/volunteer role</w:t>
      </w:r>
      <w:r w:rsidRPr="00DF5648">
        <w:rPr>
          <w:rFonts w:ascii="Open Sans" w:hAnsi="Open Sans" w:cs="Open Sans"/>
          <w:color w:val="000000" w:themeColor="text1"/>
        </w:rPr>
        <w:t xml:space="preserve"> is usually not </w:t>
      </w:r>
      <w:r>
        <w:rPr>
          <w:rFonts w:ascii="Open Sans" w:hAnsi="Open Sans" w:cs="Open Sans"/>
          <w:color w:val="000000" w:themeColor="text1"/>
        </w:rPr>
        <w:t>adding</w:t>
      </w:r>
      <w:r w:rsidRPr="00DF5648">
        <w:rPr>
          <w:rFonts w:ascii="Open Sans" w:hAnsi="Open Sans" w:cs="Open Sans"/>
          <w:color w:val="000000" w:themeColor="text1"/>
        </w:rPr>
        <w:t xml:space="preserve"> a huge amount of work.</w:t>
      </w:r>
    </w:p>
    <w:p w14:paraId="09B9330E" w14:textId="22DAE9E1" w:rsidR="00DF5648" w:rsidRPr="00DF5648" w:rsidRDefault="00DF5648" w:rsidP="00DF5648">
      <w:pPr>
        <w:pStyle w:val="ListParagraph"/>
        <w:numPr>
          <w:ilvl w:val="0"/>
          <w:numId w:val="4"/>
        </w:numPr>
        <w:rPr>
          <w:rFonts w:ascii="Open Sans" w:hAnsi="Open Sans" w:cs="Open Sans"/>
          <w:color w:val="000000" w:themeColor="text1"/>
        </w:rPr>
      </w:pPr>
      <w:proofErr w:type="gramStart"/>
      <w:r>
        <w:rPr>
          <w:rFonts w:ascii="Open Sans" w:hAnsi="Open Sans" w:cs="Open Sans"/>
          <w:color w:val="000000" w:themeColor="text1"/>
          <w:shd w:val="clear" w:color="auto" w:fill="FFFFFF"/>
        </w:rPr>
        <w:t>Overall</w:t>
      </w:r>
      <w:proofErr w:type="gramEnd"/>
      <w:r>
        <w:rPr>
          <w:rFonts w:ascii="Open Sans" w:hAnsi="Open Sans" w:cs="Open Sans"/>
          <w:color w:val="000000" w:themeColor="text1"/>
          <w:shd w:val="clear" w:color="auto" w:fill="FFFFFF"/>
        </w:rPr>
        <w:t xml:space="preserve"> it</w:t>
      </w:r>
      <w:r w:rsidRPr="00DF5648">
        <w:rPr>
          <w:rFonts w:ascii="Open Sans" w:hAnsi="Open Sans" w:cs="Open Sans"/>
          <w:color w:val="000000" w:themeColor="text1"/>
          <w:shd w:val="clear" w:color="auto" w:fill="FFFFFF"/>
        </w:rPr>
        <w:t xml:space="preserve"> comes down </w:t>
      </w:r>
      <w:r w:rsidR="004B2A50">
        <w:rPr>
          <w:rFonts w:ascii="Open Sans" w:hAnsi="Open Sans" w:cs="Open Sans"/>
          <w:color w:val="000000" w:themeColor="text1"/>
          <w:shd w:val="clear" w:color="auto" w:fill="FFFFFF"/>
        </w:rPr>
        <w:t xml:space="preserve">to </w:t>
      </w:r>
      <w:r w:rsidRPr="00DF5648">
        <w:rPr>
          <w:rFonts w:ascii="Open Sans" w:hAnsi="Open Sans" w:cs="Open Sans"/>
          <w:color w:val="000000" w:themeColor="text1"/>
          <w:shd w:val="clear" w:color="auto" w:fill="FFFFFF"/>
        </w:rPr>
        <w:t>the idea of equitability versus equality</w:t>
      </w:r>
      <w:r>
        <w:rPr>
          <w:rFonts w:ascii="Open Sans" w:hAnsi="Open Sans" w:cs="Open Sans"/>
          <w:color w:val="000000" w:themeColor="text1"/>
          <w:shd w:val="clear" w:color="auto" w:fill="FFFFFF"/>
        </w:rPr>
        <w:t>.</w:t>
      </w:r>
      <w:r w:rsidRPr="00DF5648">
        <w:rPr>
          <w:rFonts w:ascii="Open Sans" w:hAnsi="Open Sans" w:cs="Open Sans"/>
          <w:color w:val="000000" w:themeColor="text1"/>
          <w:shd w:val="clear" w:color="auto" w:fill="FFFFFF"/>
        </w:rPr>
        <w:t xml:space="preserve"> </w:t>
      </w:r>
      <w:r>
        <w:rPr>
          <w:rFonts w:ascii="Open Sans" w:hAnsi="Open Sans" w:cs="Open Sans"/>
          <w:color w:val="000000" w:themeColor="text1"/>
          <w:shd w:val="clear" w:color="auto" w:fill="FFFFFF"/>
        </w:rPr>
        <w:t>I</w:t>
      </w:r>
      <w:r w:rsidRPr="00DF5648">
        <w:rPr>
          <w:rFonts w:ascii="Open Sans" w:hAnsi="Open Sans" w:cs="Open Sans"/>
          <w:color w:val="000000" w:themeColor="text1"/>
          <w:shd w:val="clear" w:color="auto" w:fill="FFFFFF"/>
        </w:rPr>
        <w:t>n the interest of being equitable and ultimately protecting the process, the institution </w:t>
      </w:r>
      <w:r w:rsidRPr="00DF5648">
        <w:rPr>
          <w:rFonts w:ascii="Open Sans" w:hAnsi="Open Sans" w:cs="Open Sans"/>
          <w:i/>
          <w:iCs/>
          <w:color w:val="000000" w:themeColor="text1"/>
          <w:shd w:val="clear" w:color="auto" w:fill="FFFFFF"/>
        </w:rPr>
        <w:t>should</w:t>
      </w:r>
      <w:r w:rsidRPr="00DF5648">
        <w:rPr>
          <w:rFonts w:ascii="Open Sans" w:hAnsi="Open Sans" w:cs="Open Sans"/>
          <w:color w:val="000000" w:themeColor="text1"/>
          <w:shd w:val="clear" w:color="auto" w:fill="FFFFFF"/>
        </w:rPr>
        <w:t> provide someone to offer services to </w:t>
      </w:r>
      <w:r w:rsidRPr="00DF5648">
        <w:rPr>
          <w:rStyle w:val="il"/>
          <w:rFonts w:ascii="Open Sans" w:hAnsi="Open Sans" w:cs="Open Sans"/>
          <w:color w:val="000000" w:themeColor="text1"/>
          <w:shd w:val="clear" w:color="auto" w:fill="FFFFFF"/>
        </w:rPr>
        <w:t>respondents</w:t>
      </w:r>
      <w:r w:rsidRPr="00DF5648">
        <w:rPr>
          <w:rFonts w:ascii="Open Sans" w:hAnsi="Open Sans" w:cs="Open Sans"/>
          <w:color w:val="000000" w:themeColor="text1"/>
          <w:shd w:val="clear" w:color="auto" w:fill="FFFFFF"/>
        </w:rPr>
        <w:t xml:space="preserve">, however that person should </w:t>
      </w:r>
      <w:proofErr w:type="gramStart"/>
      <w:r w:rsidRPr="00DF5648">
        <w:rPr>
          <w:rFonts w:ascii="Open Sans" w:hAnsi="Open Sans" w:cs="Open Sans"/>
          <w:color w:val="000000" w:themeColor="text1"/>
          <w:shd w:val="clear" w:color="auto" w:fill="FFFFFF"/>
        </w:rPr>
        <w:t>absolutely </w:t>
      </w:r>
      <w:r w:rsidRPr="00DF5648">
        <w:rPr>
          <w:rFonts w:ascii="Open Sans" w:hAnsi="Open Sans" w:cs="Open Sans"/>
          <w:i/>
          <w:iCs/>
          <w:color w:val="000000" w:themeColor="text1"/>
          <w:shd w:val="clear" w:color="auto" w:fill="FFFFFF"/>
        </w:rPr>
        <w:t>not</w:t>
      </w:r>
      <w:proofErr w:type="gramEnd"/>
      <w:r w:rsidRPr="00DF5648">
        <w:rPr>
          <w:rFonts w:ascii="Open Sans" w:hAnsi="Open Sans" w:cs="Open Sans"/>
          <w:color w:val="000000" w:themeColor="text1"/>
          <w:shd w:val="clear" w:color="auto" w:fill="FFFFFF"/>
        </w:rPr>
        <w:t> be the survivor advocate as that person does not have the training needed to support </w:t>
      </w:r>
      <w:r w:rsidRPr="00DF5648">
        <w:rPr>
          <w:rStyle w:val="il"/>
          <w:rFonts w:ascii="Open Sans" w:hAnsi="Open Sans" w:cs="Open Sans"/>
          <w:color w:val="000000" w:themeColor="text1"/>
          <w:shd w:val="clear" w:color="auto" w:fill="FFFFFF"/>
        </w:rPr>
        <w:t>respondents</w:t>
      </w:r>
      <w:r w:rsidRPr="00DF5648">
        <w:rPr>
          <w:rFonts w:ascii="Open Sans" w:hAnsi="Open Sans" w:cs="Open Sans"/>
          <w:color w:val="000000" w:themeColor="text1"/>
          <w:shd w:val="clear" w:color="auto" w:fill="FFFFFF"/>
        </w:rPr>
        <w:t> and ultimately cannot ethically serve both parties in a single case.</w:t>
      </w:r>
    </w:p>
    <w:p w14:paraId="162FF151" w14:textId="77777777" w:rsidR="00DF5648" w:rsidRPr="00DF5648" w:rsidRDefault="00DF5648" w:rsidP="00DF5648">
      <w:pPr>
        <w:rPr>
          <w:rFonts w:ascii="Open Sans" w:hAnsi="Open Sans" w:cs="Open Sans"/>
          <w:b/>
          <w:bCs/>
          <w:color w:val="000000" w:themeColor="text1"/>
          <w:u w:val="single"/>
        </w:rPr>
      </w:pPr>
    </w:p>
    <w:p w14:paraId="2E230D1A" w14:textId="77777777" w:rsidR="00DF5648" w:rsidRDefault="00DF5648" w:rsidP="00DF5648">
      <w:pPr>
        <w:rPr>
          <w:rFonts w:ascii="Open Sans" w:hAnsi="Open Sans" w:cs="Open Sans"/>
          <w:b/>
          <w:bCs/>
          <w:color w:val="000000" w:themeColor="text1"/>
          <w:u w:val="single"/>
        </w:rPr>
      </w:pPr>
    </w:p>
    <w:p w14:paraId="398E5B3A" w14:textId="77777777" w:rsidR="00DF5648" w:rsidRDefault="00DF5648" w:rsidP="00DF5648">
      <w:pPr>
        <w:rPr>
          <w:rFonts w:ascii="Open Sans" w:hAnsi="Open Sans" w:cs="Open Sans"/>
          <w:b/>
          <w:bCs/>
          <w:color w:val="000000" w:themeColor="text1"/>
          <w:u w:val="single"/>
        </w:rPr>
      </w:pPr>
    </w:p>
    <w:p w14:paraId="52931B67" w14:textId="77777777" w:rsidR="00DF5648" w:rsidRDefault="00DF5648" w:rsidP="00DF5648">
      <w:pPr>
        <w:rPr>
          <w:rFonts w:ascii="Open Sans" w:hAnsi="Open Sans" w:cs="Open Sans"/>
          <w:b/>
          <w:bCs/>
          <w:color w:val="000000" w:themeColor="text1"/>
          <w:u w:val="single"/>
        </w:rPr>
      </w:pPr>
    </w:p>
    <w:p w14:paraId="3EBED556" w14:textId="77777777" w:rsidR="00DF5648" w:rsidRDefault="00DF5648" w:rsidP="00DF5648">
      <w:pPr>
        <w:rPr>
          <w:rFonts w:ascii="Open Sans" w:hAnsi="Open Sans" w:cs="Open Sans"/>
          <w:b/>
          <w:bCs/>
          <w:color w:val="000000" w:themeColor="text1"/>
          <w:u w:val="single"/>
        </w:rPr>
      </w:pPr>
    </w:p>
    <w:p w14:paraId="5662EAC0" w14:textId="77777777" w:rsidR="00DF5648" w:rsidRDefault="00DF5648" w:rsidP="00DF5648">
      <w:pPr>
        <w:rPr>
          <w:rFonts w:ascii="Open Sans" w:hAnsi="Open Sans" w:cs="Open Sans"/>
          <w:b/>
          <w:bCs/>
          <w:color w:val="000000" w:themeColor="text1"/>
          <w:u w:val="single"/>
        </w:rPr>
      </w:pPr>
    </w:p>
    <w:p w14:paraId="72B2C546" w14:textId="3A0B164A" w:rsidR="00DF5648" w:rsidRP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t>Campuses &amp; Organizations that Provided Feedback</w:t>
      </w:r>
    </w:p>
    <w:p w14:paraId="06D93E42" w14:textId="3E5C0080"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ATIXA</w:t>
      </w:r>
      <w:r>
        <w:rPr>
          <w:rFonts w:ascii="Open Sans" w:hAnsi="Open Sans" w:cs="Open Sans"/>
          <w:color w:val="000000" w:themeColor="text1"/>
        </w:rPr>
        <w:t xml:space="preserve"> (Association of Title IX Administrators)</w:t>
      </w:r>
    </w:p>
    <w:p w14:paraId="573611EA"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Boston University</w:t>
      </w:r>
    </w:p>
    <w:p w14:paraId="505A10BA" w14:textId="426A79B4"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CAPPA</w:t>
      </w:r>
      <w:r>
        <w:rPr>
          <w:rFonts w:ascii="Open Sans" w:hAnsi="Open Sans" w:cs="Open Sans"/>
          <w:color w:val="000000" w:themeColor="text1"/>
        </w:rPr>
        <w:t xml:space="preserve"> (Campus Advocacy and Prevention Professional Association) </w:t>
      </w:r>
    </w:p>
    <w:p w14:paraId="2A409DCB"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Cornell University</w:t>
      </w:r>
    </w:p>
    <w:p w14:paraId="0BF22FA5"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Duke University</w:t>
      </w:r>
    </w:p>
    <w:p w14:paraId="651A7793"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Elon University</w:t>
      </w:r>
    </w:p>
    <w:p w14:paraId="436A29CE"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Emory University</w:t>
      </w:r>
    </w:p>
    <w:p w14:paraId="5AD290C9"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FMS Speaks, LLC</w:t>
      </w:r>
    </w:p>
    <w:p w14:paraId="5B095DC3"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George Washington University</w:t>
      </w:r>
    </w:p>
    <w:p w14:paraId="115EED84" w14:textId="7853F61F" w:rsidR="00DF5648" w:rsidRPr="00DF5648" w:rsidRDefault="00DF5648" w:rsidP="00DF5648">
      <w:pPr>
        <w:rPr>
          <w:rFonts w:ascii="Open Sans" w:hAnsi="Open Sans" w:cs="Open Sans"/>
          <w:color w:val="000000" w:themeColor="text1"/>
        </w:rPr>
      </w:pPr>
      <w:r>
        <w:rPr>
          <w:rFonts w:ascii="Open Sans" w:hAnsi="Open Sans" w:cs="Open Sans"/>
          <w:color w:val="000000" w:themeColor="text1"/>
        </w:rPr>
        <w:t xml:space="preserve">MASOC (Massachusetts Society for a World Free of Sexual Harm by Youth) </w:t>
      </w:r>
    </w:p>
    <w:p w14:paraId="01CA951B" w14:textId="533774AB"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NASPA</w:t>
      </w:r>
      <w:r>
        <w:rPr>
          <w:rFonts w:ascii="Open Sans" w:hAnsi="Open Sans" w:cs="Open Sans"/>
          <w:color w:val="000000" w:themeColor="text1"/>
        </w:rPr>
        <w:t xml:space="preserve"> (National Association of Student Personnel Administrators) </w:t>
      </w:r>
    </w:p>
    <w:p w14:paraId="53C6F078"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Northeastern University</w:t>
      </w:r>
    </w:p>
    <w:p w14:paraId="12040643"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Princeton University</w:t>
      </w:r>
    </w:p>
    <w:p w14:paraId="3F70FA94"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Sexual Violence Research Initiative</w:t>
      </w:r>
    </w:p>
    <w:p w14:paraId="6C49C91E"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UNC Chapel Hill</w:t>
      </w:r>
    </w:p>
    <w:p w14:paraId="65B57D6E" w14:textId="77777777" w:rsidR="00DF5648" w:rsidRPr="00DF5648" w:rsidRDefault="00DF5648" w:rsidP="00DF5648">
      <w:pPr>
        <w:rPr>
          <w:rFonts w:ascii="Open Sans" w:hAnsi="Open Sans" w:cs="Open Sans"/>
          <w:color w:val="000000" w:themeColor="text1"/>
        </w:rPr>
      </w:pPr>
      <w:r w:rsidRPr="00DF5648">
        <w:rPr>
          <w:rFonts w:ascii="Open Sans" w:hAnsi="Open Sans" w:cs="Open Sans"/>
          <w:color w:val="000000" w:themeColor="text1"/>
        </w:rPr>
        <w:t>University of Illinois</w:t>
      </w:r>
    </w:p>
    <w:p w14:paraId="7E99D6C6" w14:textId="77777777" w:rsidR="00DF5648" w:rsidRDefault="00DF5648" w:rsidP="00DF5648">
      <w:pPr>
        <w:rPr>
          <w:rFonts w:ascii="Open Sans" w:hAnsi="Open Sans" w:cs="Open Sans"/>
          <w:color w:val="000000" w:themeColor="text1"/>
        </w:rPr>
      </w:pPr>
      <w:r w:rsidRPr="00DF5648">
        <w:rPr>
          <w:rFonts w:ascii="Open Sans" w:hAnsi="Open Sans" w:cs="Open Sans"/>
          <w:color w:val="000000" w:themeColor="text1"/>
        </w:rPr>
        <w:t>University of North Texas</w:t>
      </w:r>
    </w:p>
    <w:p w14:paraId="580DD8EB" w14:textId="3A87F8F0" w:rsidR="004B2A50" w:rsidRDefault="004B2A50" w:rsidP="00DF5648">
      <w:pPr>
        <w:rPr>
          <w:rFonts w:ascii="Open Sans" w:hAnsi="Open Sans" w:cs="Open Sans"/>
          <w:color w:val="000000" w:themeColor="text1"/>
        </w:rPr>
      </w:pPr>
      <w:r>
        <w:rPr>
          <w:rFonts w:ascii="Open Sans" w:hAnsi="Open Sans" w:cs="Open Sans"/>
          <w:color w:val="000000" w:themeColor="text1"/>
        </w:rPr>
        <w:t>University of Texas at San Antonio</w:t>
      </w:r>
    </w:p>
    <w:p w14:paraId="279AFD99" w14:textId="6017BB8B" w:rsidR="004B2A50" w:rsidRPr="00DF5648" w:rsidRDefault="004B2A50" w:rsidP="00DF5648">
      <w:pPr>
        <w:rPr>
          <w:rFonts w:ascii="Open Sans" w:hAnsi="Open Sans" w:cs="Open Sans"/>
          <w:color w:val="000000" w:themeColor="text1"/>
        </w:rPr>
      </w:pPr>
      <w:r>
        <w:rPr>
          <w:rFonts w:ascii="Open Sans" w:hAnsi="Open Sans" w:cs="Open Sans"/>
          <w:color w:val="000000" w:themeColor="text1"/>
        </w:rPr>
        <w:t>University of Wisconsin-Madison</w:t>
      </w:r>
    </w:p>
    <w:p w14:paraId="5170DA5E" w14:textId="77777777" w:rsidR="00DF5648" w:rsidRPr="00DF5648" w:rsidRDefault="00DF5648" w:rsidP="00DF5648">
      <w:pPr>
        <w:rPr>
          <w:rFonts w:ascii="Open Sans" w:hAnsi="Open Sans" w:cs="Open Sans"/>
          <w:b/>
          <w:bCs/>
          <w:color w:val="000000" w:themeColor="text1"/>
          <w:u w:val="single"/>
        </w:rPr>
      </w:pPr>
    </w:p>
    <w:p w14:paraId="5F725102" w14:textId="43B92846" w:rsidR="00DF5648" w:rsidRP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t>General Concerns</w:t>
      </w:r>
    </w:p>
    <w:p w14:paraId="260187A1" w14:textId="6A9F1E4E" w:rsidR="00DF5648" w:rsidRPr="00DF5648" w:rsidRDefault="00DF5648" w:rsidP="00DF5648">
      <w:pPr>
        <w:pStyle w:val="ListParagraph"/>
        <w:numPr>
          <w:ilvl w:val="0"/>
          <w:numId w:val="5"/>
        </w:numPr>
        <w:rPr>
          <w:rFonts w:ascii="Open Sans" w:hAnsi="Open Sans" w:cs="Open Sans"/>
          <w:color w:val="000000" w:themeColor="text1"/>
        </w:rPr>
      </w:pPr>
      <w:r>
        <w:rPr>
          <w:rFonts w:ascii="Open Sans" w:hAnsi="Open Sans" w:cs="Open Sans"/>
          <w:color w:val="000000" w:themeColor="text1"/>
          <w:shd w:val="clear" w:color="auto" w:fill="FFFFFF"/>
        </w:rPr>
        <w:t>M</w:t>
      </w:r>
      <w:r w:rsidRPr="00DF5648">
        <w:rPr>
          <w:rFonts w:ascii="Open Sans" w:hAnsi="Open Sans" w:cs="Open Sans"/>
          <w:color w:val="000000" w:themeColor="text1"/>
          <w:shd w:val="clear" w:color="auto" w:fill="FFFFFF"/>
        </w:rPr>
        <w:t xml:space="preserve">ost of the survivors we have worked with are not TIX claimants/ complainants and centering from a compliance lens alienates students needing support (especially if you are also serving students who have been harmed prior to coming to school or by a non-university community member). </w:t>
      </w:r>
    </w:p>
    <w:p w14:paraId="144499D7" w14:textId="77777777" w:rsidR="00DF5648" w:rsidRPr="00DF5648" w:rsidRDefault="00DF5648" w:rsidP="00DF5648">
      <w:pPr>
        <w:numPr>
          <w:ilvl w:val="0"/>
          <w:numId w:val="5"/>
        </w:numPr>
        <w:shd w:val="clear" w:color="auto" w:fill="FFFFFF"/>
        <w:spacing w:before="100" w:beforeAutospacing="1" w:after="100" w:afterAutospacing="1"/>
        <w:rPr>
          <w:rFonts w:ascii="Open Sans" w:eastAsia="Times New Roman" w:hAnsi="Open Sans" w:cs="Open Sans"/>
          <w:color w:val="000000" w:themeColor="text1"/>
          <w:kern w:val="0"/>
          <w14:ligatures w14:val="none"/>
        </w:rPr>
      </w:pPr>
      <w:r w:rsidRPr="00DF5648">
        <w:rPr>
          <w:rFonts w:ascii="Open Sans" w:eastAsia="Times New Roman" w:hAnsi="Open Sans" w:cs="Open Sans"/>
          <w:color w:val="000000" w:themeColor="text1"/>
          <w:kern w:val="0"/>
          <w14:ligatures w14:val="none"/>
        </w:rPr>
        <w:t xml:space="preserve">While survivor supports in the role at the university provide accompaniment through a TIX process, it is not typically as the advisor in a hearing process (especially under current cross-examination processes in which folx tend to use an attorney from my experience). The university usually still </w:t>
      </w:r>
      <w:proofErr w:type="gramStart"/>
      <w:r w:rsidRPr="00DF5648">
        <w:rPr>
          <w:rFonts w:ascii="Open Sans" w:eastAsia="Times New Roman" w:hAnsi="Open Sans" w:cs="Open Sans"/>
          <w:color w:val="000000" w:themeColor="text1"/>
          <w:kern w:val="0"/>
          <w14:ligatures w14:val="none"/>
        </w:rPr>
        <w:t>has to</w:t>
      </w:r>
      <w:proofErr w:type="gramEnd"/>
      <w:r w:rsidRPr="00DF5648">
        <w:rPr>
          <w:rFonts w:ascii="Open Sans" w:eastAsia="Times New Roman" w:hAnsi="Open Sans" w:cs="Open Sans"/>
          <w:color w:val="000000" w:themeColor="text1"/>
          <w:kern w:val="0"/>
          <w14:ligatures w14:val="none"/>
        </w:rPr>
        <w:t xml:space="preserve"> provide that to both parties in the hearing process (In some areas/ states, there are fabulous non-profit attorneys who can serve in that role and often do, but it's not for us to come up with an equal resource in the community for respondents).</w:t>
      </w:r>
    </w:p>
    <w:p w14:paraId="381C4AA1" w14:textId="42602511" w:rsidR="00DF5648" w:rsidRPr="00745F84" w:rsidRDefault="00DF5648" w:rsidP="00DF5648">
      <w:pPr>
        <w:pStyle w:val="ListParagraph"/>
        <w:numPr>
          <w:ilvl w:val="0"/>
          <w:numId w:val="5"/>
        </w:numPr>
        <w:rPr>
          <w:rFonts w:ascii="Open Sans" w:hAnsi="Open Sans" w:cs="Open Sans"/>
          <w:color w:val="000000" w:themeColor="text1"/>
        </w:rPr>
      </w:pPr>
      <w:r w:rsidRPr="00DF5648">
        <w:rPr>
          <w:rFonts w:ascii="Open Sans" w:hAnsi="Open Sans" w:cs="Open Sans"/>
          <w:color w:val="000000" w:themeColor="text1"/>
          <w:shd w:val="clear" w:color="auto" w:fill="FFFFFF"/>
        </w:rPr>
        <w:t xml:space="preserve">I wonder if it might help for the school to consider which services are needed for both parties and which services are uniquely designed to serve </w:t>
      </w:r>
      <w:r w:rsidRPr="00DF5648">
        <w:rPr>
          <w:rFonts w:ascii="Open Sans" w:hAnsi="Open Sans" w:cs="Open Sans"/>
          <w:color w:val="000000" w:themeColor="text1"/>
          <w:shd w:val="clear" w:color="auto" w:fill="FFFFFF"/>
        </w:rPr>
        <w:lastRenderedPageBreak/>
        <w:t xml:space="preserve">survivors?  Emotional support from counselors and </w:t>
      </w:r>
      <w:r>
        <w:rPr>
          <w:rFonts w:ascii="Open Sans" w:hAnsi="Open Sans" w:cs="Open Sans"/>
          <w:color w:val="000000" w:themeColor="text1"/>
          <w:shd w:val="clear" w:color="auto" w:fill="FFFFFF"/>
        </w:rPr>
        <w:t>someone</w:t>
      </w:r>
      <w:r w:rsidRPr="00DF5648">
        <w:rPr>
          <w:rFonts w:ascii="Open Sans" w:hAnsi="Open Sans" w:cs="Open Sans"/>
          <w:color w:val="000000" w:themeColor="text1"/>
          <w:shd w:val="clear" w:color="auto" w:fill="FFFFFF"/>
        </w:rPr>
        <w:t xml:space="preserve"> to answer questions during the process should be available to both complainants and respondents, as you mentioned. But only survivors or potential complainants benefit from an advocate who can help them understand their options so they can make informed decisions about the right option(s) for them, including campus supportive measures and Title IX, as well as off-campus resources like municipal law enforcement, county-based forensic examinations, and state-level restraining orders. Respondents do not require information about the available resources in the same way as complainants because respondents don’t get to initially choose the venue or process. Instead, they are either invited into or compelled to participate in the process(es) </w:t>
      </w:r>
      <w:proofErr w:type="gramStart"/>
      <w:r w:rsidRPr="00DF5648">
        <w:rPr>
          <w:rFonts w:ascii="Open Sans" w:hAnsi="Open Sans" w:cs="Open Sans"/>
          <w:color w:val="000000" w:themeColor="text1"/>
          <w:shd w:val="clear" w:color="auto" w:fill="FFFFFF"/>
        </w:rPr>
        <w:t>subsequent to</w:t>
      </w:r>
      <w:proofErr w:type="gramEnd"/>
      <w:r w:rsidRPr="00DF5648">
        <w:rPr>
          <w:rFonts w:ascii="Open Sans" w:hAnsi="Open Sans" w:cs="Open Sans"/>
          <w:color w:val="000000" w:themeColor="text1"/>
          <w:shd w:val="clear" w:color="auto" w:fill="FFFFFF"/>
        </w:rPr>
        <w:t xml:space="preserve"> the complainant/survivor’s choices.</w:t>
      </w:r>
    </w:p>
    <w:p w14:paraId="708183D2" w14:textId="70735AA2" w:rsidR="00745F84" w:rsidRPr="00745F84" w:rsidRDefault="00745F84" w:rsidP="00DF5648">
      <w:pPr>
        <w:pStyle w:val="ListParagraph"/>
        <w:numPr>
          <w:ilvl w:val="0"/>
          <w:numId w:val="5"/>
        </w:numPr>
        <w:rPr>
          <w:rFonts w:ascii="Open Sans" w:hAnsi="Open Sans" w:cs="Open Sans"/>
          <w:color w:val="000000" w:themeColor="text1"/>
        </w:rPr>
      </w:pPr>
      <w:r w:rsidRPr="00745F84">
        <w:rPr>
          <w:rFonts w:ascii="Open Sans" w:hAnsi="Open Sans" w:cs="Open Sans"/>
          <w:color w:val="000000"/>
          <w:shd w:val="clear" w:color="auto" w:fill="FFFFFF"/>
        </w:rPr>
        <w:t>It's about equity, not sameness or equality. It is of benefit to the survivor to also have someone in the process who is clear on what retaliation is and can help to ensure that the respondent is not harassing the survivor, calling the survivor advocate and their office, or otherwise engaging in ways that continue the harm.</w:t>
      </w:r>
      <w:r>
        <w:rPr>
          <w:rFonts w:ascii="Open Sans" w:hAnsi="Open Sans" w:cs="Open Sans"/>
          <w:color w:val="000000"/>
          <w:shd w:val="clear" w:color="auto" w:fill="FFFFFF"/>
        </w:rPr>
        <w:t xml:space="preserve"> S</w:t>
      </w:r>
      <w:r w:rsidRPr="00745F84">
        <w:rPr>
          <w:rFonts w:ascii="Open Sans" w:hAnsi="Open Sans" w:cs="Open Sans"/>
          <w:color w:val="000000"/>
          <w:shd w:val="clear" w:color="auto" w:fill="FFFFFF"/>
        </w:rPr>
        <w:t>eeking support from the same person, the same office, or someone designated "survivor advocate" is a terrible plan.</w:t>
      </w:r>
    </w:p>
    <w:p w14:paraId="7C2BBE53" w14:textId="77777777" w:rsidR="00DF5648" w:rsidRPr="00DF5648" w:rsidRDefault="00DF5648" w:rsidP="00DF5648">
      <w:pPr>
        <w:rPr>
          <w:rFonts w:ascii="Open Sans" w:hAnsi="Open Sans" w:cs="Open Sans"/>
          <w:color w:val="000000" w:themeColor="text1"/>
        </w:rPr>
      </w:pPr>
    </w:p>
    <w:p w14:paraId="5B81DD07" w14:textId="752B22E8" w:rsidR="00DF5648" w:rsidRP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t>Title IX/Compliance</w:t>
      </w:r>
    </w:p>
    <w:p w14:paraId="50CF0273" w14:textId="6A8F3D88" w:rsidR="00DF5648" w:rsidRPr="00DF5648" w:rsidRDefault="00DF5648" w:rsidP="00DF5648">
      <w:pPr>
        <w:pStyle w:val="ListParagraph"/>
        <w:numPr>
          <w:ilvl w:val="0"/>
          <w:numId w:val="7"/>
        </w:numPr>
        <w:rPr>
          <w:rFonts w:ascii="Open Sans" w:hAnsi="Open Sans" w:cs="Open Sans"/>
          <w:color w:val="000000" w:themeColor="text1"/>
          <w:shd w:val="clear" w:color="auto" w:fill="FFFFFF"/>
        </w:rPr>
      </w:pPr>
      <w:r>
        <w:rPr>
          <w:rFonts w:ascii="Open Sans" w:hAnsi="Open Sans" w:cs="Open Sans"/>
          <w:color w:val="000000" w:themeColor="text1"/>
          <w:shd w:val="clear" w:color="auto" w:fill="FFFFFF"/>
        </w:rPr>
        <w:t>I</w:t>
      </w:r>
      <w:r w:rsidRPr="00DF5648">
        <w:rPr>
          <w:rFonts w:ascii="Open Sans" w:hAnsi="Open Sans" w:cs="Open Sans"/>
          <w:color w:val="000000" w:themeColor="text1"/>
          <w:shd w:val="clear" w:color="auto" w:fill="FFFFFF"/>
        </w:rPr>
        <w:t>nterpretation has always been that the requirement for "balanced, neutral, and impartial" services is for the Title IX office specifically and should not have to be applied to campus advocacy offices.</w:t>
      </w:r>
    </w:p>
    <w:p w14:paraId="44D58159" w14:textId="54E8B9D9" w:rsidR="00DF5648" w:rsidRPr="00DF5648" w:rsidRDefault="00DF5648" w:rsidP="00DF5648">
      <w:pPr>
        <w:pStyle w:val="ListParagraph"/>
        <w:numPr>
          <w:ilvl w:val="0"/>
          <w:numId w:val="7"/>
        </w:numPr>
        <w:rPr>
          <w:rFonts w:ascii="Open Sans" w:hAnsi="Open Sans" w:cs="Open Sans"/>
          <w:b/>
          <w:bCs/>
          <w:color w:val="000000" w:themeColor="text1"/>
          <w:u w:val="single"/>
        </w:rPr>
      </w:pPr>
      <w:r>
        <w:rPr>
          <w:rFonts w:ascii="Open Sans" w:hAnsi="Open Sans" w:cs="Open Sans"/>
          <w:color w:val="000000" w:themeColor="text1"/>
          <w:shd w:val="clear" w:color="auto" w:fill="FFFFFF"/>
        </w:rPr>
        <w:t>C</w:t>
      </w:r>
      <w:r w:rsidRPr="00DF5648">
        <w:rPr>
          <w:rFonts w:ascii="Open Sans" w:hAnsi="Open Sans" w:cs="Open Sans"/>
          <w:color w:val="000000" w:themeColor="text1"/>
          <w:shd w:val="clear" w:color="auto" w:fill="FFFFFF"/>
        </w:rPr>
        <w:t>ould pose some legal liability due to the inherent conflict of interest. It’s now best practice to have different staff in student conduct and TIX work with complainant/respondent because of these real/perceived conflicts.</w:t>
      </w:r>
    </w:p>
    <w:p w14:paraId="24A3AF52" w14:textId="378986CB" w:rsidR="00DF5648" w:rsidRPr="00DF5648" w:rsidRDefault="00DF5648" w:rsidP="00DF5648">
      <w:pPr>
        <w:pStyle w:val="ListParagraph"/>
        <w:numPr>
          <w:ilvl w:val="0"/>
          <w:numId w:val="7"/>
        </w:numPr>
        <w:rPr>
          <w:rFonts w:ascii="Open Sans" w:hAnsi="Open Sans" w:cs="Open Sans"/>
          <w:b/>
          <w:bCs/>
          <w:color w:val="000000" w:themeColor="text1"/>
          <w:u w:val="single"/>
        </w:rPr>
      </w:pPr>
      <w:r w:rsidRPr="00DF5648">
        <w:rPr>
          <w:rFonts w:ascii="Open Sans" w:hAnsi="Open Sans" w:cs="Open Sans"/>
          <w:color w:val="000000" w:themeColor="text1"/>
          <w:shd w:val="clear" w:color="auto" w:fill="FFFFFF"/>
        </w:rPr>
        <w:t xml:space="preserve">Comments from Brett Sokolow, Chair of the Board at </w:t>
      </w:r>
      <w:hyperlink r:id="rId8" w:history="1">
        <w:r w:rsidRPr="00DF5648">
          <w:rPr>
            <w:rStyle w:val="Hyperlink"/>
            <w:rFonts w:ascii="Open Sans" w:hAnsi="Open Sans" w:cs="Open Sans"/>
            <w:shd w:val="clear" w:color="auto" w:fill="FFFFFF"/>
          </w:rPr>
          <w:t>ATIXA</w:t>
        </w:r>
      </w:hyperlink>
      <w:r w:rsidRPr="00DF5648">
        <w:rPr>
          <w:rFonts w:ascii="Open Sans" w:hAnsi="Open Sans" w:cs="Open Sans"/>
          <w:color w:val="000000" w:themeColor="text1"/>
          <w:shd w:val="clear" w:color="auto" w:fill="FFFFFF"/>
        </w:rPr>
        <w:t xml:space="preserve"> (leading TIX campus consultant firm in US):</w:t>
      </w:r>
    </w:p>
    <w:p w14:paraId="1EAD5990" w14:textId="77777777" w:rsidR="00DF5648" w:rsidRPr="00DF5648" w:rsidRDefault="00DF5648" w:rsidP="00DF5648">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Don’t feel pressured to offer respondent advocacy. There really is no such thing as a respondent advocate, when compared to the skillset of a victim advocate. The best advocate for a respondent is likely an attorney.</w:t>
      </w:r>
    </w:p>
    <w:p w14:paraId="7B51B67C" w14:textId="77777777" w:rsidR="00DF5648" w:rsidRPr="00DF5648" w:rsidRDefault="00DF5648" w:rsidP="00DF5648">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I don’t think Title IX places a requirement to offer services to a respondent, as a respondent (though I know that that idea is somewhat commonly accepted). It’s not a bad idea to treat everyone with equal dignity, but I don’t see equal advocacy services as obligatory.</w:t>
      </w:r>
    </w:p>
    <w:p w14:paraId="08D2B6B3" w14:textId="77777777" w:rsidR="00DF5648" w:rsidRPr="00DF5648" w:rsidRDefault="00DF5648" w:rsidP="00DF5648">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 xml:space="preserve">In my experience, victims/survivors (especially women) don’t want to work with an advocate who also supports potential perpetrators. Can’t </w:t>
      </w:r>
      <w:r w:rsidRPr="00DF5648">
        <w:rPr>
          <w:rFonts w:ascii="Open Sans" w:hAnsi="Open Sans" w:cs="Open Sans"/>
          <w:color w:val="000000" w:themeColor="text1"/>
        </w:rPr>
        <w:lastRenderedPageBreak/>
        <w:t>say I blame them. If you want to know there is at least one person 100% in your corner, then divided loyalties can undermine that sense of safety.</w:t>
      </w:r>
    </w:p>
    <w:p w14:paraId="16B7AA0D" w14:textId="77777777" w:rsidR="00DF5648" w:rsidRPr="00DF5648" w:rsidRDefault="00DF5648" w:rsidP="00DF5648">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Equity arguments don’t go very far for me. Each party gets an advisor in the current process. I don’t see that Title IX or VAWA requires more. The technical Title IX equity requirement is satisfied if you offer advocacy for men, woman, and non-binary survivors. That’s gender equity.</w:t>
      </w:r>
    </w:p>
    <w:p w14:paraId="1F0370F8" w14:textId="77777777" w:rsidR="00DF5648" w:rsidRPr="00DF5648" w:rsidRDefault="00DF5648" w:rsidP="00DF5648">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 xml:space="preserve">While I understand the argument made by a previous poster that respondents don’t need to make as many decisions as complainants, I think they have a lot of decision-points, just different ones. The current regs make it </w:t>
      </w:r>
      <w:proofErr w:type="gramStart"/>
      <w:r w:rsidRPr="00DF5648">
        <w:rPr>
          <w:rFonts w:ascii="Open Sans" w:hAnsi="Open Sans" w:cs="Open Sans"/>
          <w:color w:val="000000" w:themeColor="text1"/>
        </w:rPr>
        <w:t>pretty easy</w:t>
      </w:r>
      <w:proofErr w:type="gramEnd"/>
      <w:r w:rsidRPr="00DF5648">
        <w:rPr>
          <w:rFonts w:ascii="Open Sans" w:hAnsi="Open Sans" w:cs="Open Sans"/>
          <w:color w:val="000000" w:themeColor="text1"/>
        </w:rPr>
        <w:t xml:space="preserve"> for respondents to withdraw from the institution without penalty. They need to be informed about that (as it is often something the complainant would prefer as well), and its implications. Same with a request for informal resolution, or whether to request/suggest IR.</w:t>
      </w:r>
    </w:p>
    <w:p w14:paraId="62118F11" w14:textId="77777777" w:rsidR="00DF5648" w:rsidRDefault="00DF5648" w:rsidP="00DF5648">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Case managers at many institutions will be able to connect any student with services.</w:t>
      </w:r>
    </w:p>
    <w:p w14:paraId="7CB0438E" w14:textId="77777777" w:rsidR="004B2A50" w:rsidRDefault="004B2A50" w:rsidP="004B2A50">
      <w:pPr>
        <w:pStyle w:val="m4761910068196544160msolistparagraph"/>
        <w:numPr>
          <w:ilvl w:val="0"/>
          <w:numId w:val="7"/>
        </w:numPr>
        <w:shd w:val="clear" w:color="auto" w:fill="FFFFFF"/>
        <w:spacing w:before="0" w:beforeAutospacing="0" w:after="0" w:afterAutospacing="0"/>
        <w:rPr>
          <w:rFonts w:ascii="Open Sans" w:hAnsi="Open Sans" w:cs="Open Sans"/>
          <w:color w:val="000000" w:themeColor="text1"/>
        </w:rPr>
      </w:pPr>
      <w:r>
        <w:rPr>
          <w:rFonts w:ascii="Open Sans" w:hAnsi="Open Sans" w:cs="Open Sans"/>
          <w:color w:val="000000" w:themeColor="text1"/>
        </w:rPr>
        <w:t xml:space="preserve">The University of Wisconsin-Madison shared: </w:t>
      </w:r>
    </w:p>
    <w:p w14:paraId="130A891C" w14:textId="77777777" w:rsidR="004B2A50" w:rsidRPr="004B2A50" w:rsidRDefault="004B2A50" w:rsidP="004B2A50">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4B2A50">
        <w:rPr>
          <w:rFonts w:ascii="Open Sans" w:hAnsi="Open Sans" w:cs="Open Sans"/>
          <w:color w:val="000000"/>
        </w:rPr>
        <w:t>On our campus the respondent may receive support from the Sexual Misconduct Resource and Response Program (who has Title IX case managers beyond their administrators and investigators), Dean of Students, and/or Mental Health Services.  We explicitly indicate that our mental health providers-specific to our Survivor Services team (a department within Mental Health Services) and our survivor advocates do not provide care to respondents.  If we do get contacted by them, we refer them to SMRRP or Dean of Students. </w:t>
      </w:r>
    </w:p>
    <w:p w14:paraId="0198BF92" w14:textId="7E55F031" w:rsidR="004B2A50" w:rsidRPr="004B2A50" w:rsidRDefault="004B2A50" w:rsidP="004B2A50">
      <w:pPr>
        <w:pStyle w:val="m4761910068196544160msolistparagraph"/>
        <w:numPr>
          <w:ilvl w:val="1"/>
          <w:numId w:val="7"/>
        </w:numPr>
        <w:shd w:val="clear" w:color="auto" w:fill="FFFFFF"/>
        <w:spacing w:before="0" w:beforeAutospacing="0" w:after="0" w:afterAutospacing="0"/>
        <w:rPr>
          <w:rFonts w:ascii="Open Sans" w:hAnsi="Open Sans" w:cs="Open Sans"/>
          <w:color w:val="000000" w:themeColor="text1"/>
        </w:rPr>
      </w:pPr>
      <w:r w:rsidRPr="004B2A50">
        <w:rPr>
          <w:rFonts w:ascii="Open Sans" w:hAnsi="Open Sans" w:cs="Open Sans"/>
          <w:color w:val="000000"/>
        </w:rPr>
        <w:t xml:space="preserve">Of note, our SMRRP program reports into our legal/compliance office....so they are attuned to whether this meets the Title IX </w:t>
      </w:r>
      <w:r w:rsidRPr="004B2A50">
        <w:rPr>
          <w:rFonts w:ascii="Open Sans" w:hAnsi="Open Sans" w:cs="Open Sans"/>
          <w:color w:val="000000"/>
        </w:rPr>
        <w:t>regulations and</w:t>
      </w:r>
      <w:r w:rsidRPr="004B2A50">
        <w:rPr>
          <w:rFonts w:ascii="Open Sans" w:hAnsi="Open Sans" w:cs="Open Sans"/>
          <w:color w:val="000000"/>
        </w:rPr>
        <w:t xml:space="preserve"> satisfied that it does.  Additionally, all of the written materials maintained and distributed by this office includes supports for </w:t>
      </w:r>
      <w:r w:rsidRPr="004B2A50">
        <w:rPr>
          <w:rFonts w:ascii="Open Sans" w:hAnsi="Open Sans" w:cs="Open Sans"/>
          <w:color w:val="000000"/>
        </w:rPr>
        <w:t>complainants</w:t>
      </w:r>
      <w:r w:rsidRPr="004B2A50">
        <w:rPr>
          <w:rFonts w:ascii="Open Sans" w:hAnsi="Open Sans" w:cs="Open Sans"/>
          <w:color w:val="000000"/>
        </w:rPr>
        <w:t xml:space="preserve"> and respondents</w:t>
      </w:r>
      <w:proofErr w:type="gramStart"/>
      <w:r w:rsidRPr="004B2A50">
        <w:rPr>
          <w:rFonts w:ascii="Open Sans" w:hAnsi="Open Sans" w:cs="Open Sans"/>
          <w:color w:val="000000"/>
        </w:rPr>
        <w:t>....whereas</w:t>
      </w:r>
      <w:proofErr w:type="gramEnd"/>
      <w:r w:rsidRPr="004B2A50">
        <w:rPr>
          <w:rFonts w:ascii="Open Sans" w:hAnsi="Open Sans" w:cs="Open Sans"/>
          <w:color w:val="000000"/>
        </w:rPr>
        <w:t xml:space="preserve"> our materials about advocacy, mental health and medical services are specific to survivors/</w:t>
      </w:r>
      <w:r w:rsidRPr="004B2A50">
        <w:rPr>
          <w:rFonts w:ascii="Open Sans" w:hAnsi="Open Sans" w:cs="Open Sans"/>
          <w:color w:val="000000"/>
        </w:rPr>
        <w:t>complainants</w:t>
      </w:r>
      <w:r w:rsidRPr="004B2A50">
        <w:rPr>
          <w:rFonts w:ascii="Open Sans" w:hAnsi="Open Sans" w:cs="Open Sans"/>
          <w:color w:val="000000"/>
        </w:rPr>
        <w:t>. </w:t>
      </w:r>
    </w:p>
    <w:p w14:paraId="064146EC" w14:textId="77777777" w:rsidR="004B2A50" w:rsidRPr="00DF5648" w:rsidRDefault="004B2A50" w:rsidP="004B2A50">
      <w:pPr>
        <w:pStyle w:val="m4761910068196544160msolistparagraph"/>
        <w:shd w:val="clear" w:color="auto" w:fill="FFFFFF"/>
        <w:spacing w:before="0" w:beforeAutospacing="0" w:after="0" w:afterAutospacing="0"/>
        <w:ind w:left="1080"/>
        <w:rPr>
          <w:rFonts w:ascii="Open Sans" w:hAnsi="Open Sans" w:cs="Open Sans"/>
          <w:color w:val="000000" w:themeColor="text1"/>
        </w:rPr>
      </w:pPr>
    </w:p>
    <w:p w14:paraId="5AD5FDA0" w14:textId="77777777" w:rsidR="00DF5648" w:rsidRDefault="00DF5648" w:rsidP="00DF5648">
      <w:pPr>
        <w:rPr>
          <w:rFonts w:ascii="Open Sans" w:hAnsi="Open Sans" w:cs="Open Sans"/>
          <w:b/>
          <w:bCs/>
          <w:color w:val="000000" w:themeColor="text1"/>
          <w:u w:val="single"/>
        </w:rPr>
      </w:pPr>
    </w:p>
    <w:p w14:paraId="16D803AE" w14:textId="77777777" w:rsidR="004B2A50" w:rsidRDefault="004B2A50" w:rsidP="00DF5648">
      <w:pPr>
        <w:rPr>
          <w:rFonts w:ascii="Open Sans" w:hAnsi="Open Sans" w:cs="Open Sans"/>
          <w:b/>
          <w:bCs/>
          <w:color w:val="000000" w:themeColor="text1"/>
          <w:u w:val="single"/>
        </w:rPr>
      </w:pPr>
    </w:p>
    <w:p w14:paraId="602A9DD7" w14:textId="77777777" w:rsidR="004B2A50" w:rsidRDefault="004B2A50" w:rsidP="00DF5648">
      <w:pPr>
        <w:rPr>
          <w:rFonts w:ascii="Open Sans" w:hAnsi="Open Sans" w:cs="Open Sans"/>
          <w:b/>
          <w:bCs/>
          <w:color w:val="000000" w:themeColor="text1"/>
          <w:u w:val="single"/>
        </w:rPr>
      </w:pPr>
    </w:p>
    <w:p w14:paraId="49571AD7" w14:textId="77777777" w:rsidR="004B2A50" w:rsidRPr="00DF5648" w:rsidRDefault="004B2A50" w:rsidP="00DF5648">
      <w:pPr>
        <w:rPr>
          <w:rFonts w:ascii="Open Sans" w:hAnsi="Open Sans" w:cs="Open Sans"/>
          <w:b/>
          <w:bCs/>
          <w:color w:val="000000" w:themeColor="text1"/>
          <w:u w:val="single"/>
        </w:rPr>
      </w:pPr>
    </w:p>
    <w:p w14:paraId="30DF55D2" w14:textId="6FD21C3A" w:rsidR="00DF5648" w:rsidRP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lastRenderedPageBreak/>
        <w:t>Licensure &amp; Ethics</w:t>
      </w:r>
    </w:p>
    <w:p w14:paraId="1CF7D16C" w14:textId="2ED2F0F4" w:rsidR="00DF5648" w:rsidRPr="00DF5648" w:rsidRDefault="00DF5648" w:rsidP="00DF5648">
      <w:pPr>
        <w:pStyle w:val="ListParagraph"/>
        <w:numPr>
          <w:ilvl w:val="0"/>
          <w:numId w:val="3"/>
        </w:numPr>
        <w:rPr>
          <w:rFonts w:ascii="Open Sans" w:hAnsi="Open Sans" w:cs="Open Sans"/>
          <w:color w:val="000000" w:themeColor="text1"/>
          <w:shd w:val="clear" w:color="auto" w:fill="FFFFFF"/>
        </w:rPr>
      </w:pPr>
      <w:r w:rsidRPr="00DF5648">
        <w:rPr>
          <w:rFonts w:ascii="Open Sans" w:hAnsi="Open Sans" w:cs="Open Sans"/>
          <w:color w:val="000000" w:themeColor="text1"/>
          <w:shd w:val="clear" w:color="auto" w:fill="FFFFFF"/>
        </w:rPr>
        <w:t xml:space="preserve">One individual could not ethically serve both parties in the same case.   </w:t>
      </w:r>
    </w:p>
    <w:p w14:paraId="44EB8B00" w14:textId="7FBDD6C1" w:rsidR="00DF5648" w:rsidRPr="00DF5648" w:rsidRDefault="00DF5648" w:rsidP="00DF5648">
      <w:pPr>
        <w:pStyle w:val="ListParagraph"/>
        <w:numPr>
          <w:ilvl w:val="0"/>
          <w:numId w:val="3"/>
        </w:numPr>
        <w:rPr>
          <w:rFonts w:ascii="Open Sans" w:hAnsi="Open Sans" w:cs="Open Sans"/>
          <w:color w:val="000000" w:themeColor="text1"/>
          <w:shd w:val="clear" w:color="auto" w:fill="FFFFFF"/>
        </w:rPr>
      </w:pPr>
      <w:r>
        <w:rPr>
          <w:rFonts w:ascii="Open Sans" w:hAnsi="Open Sans" w:cs="Open Sans"/>
          <w:color w:val="000000" w:themeColor="text1"/>
          <w:shd w:val="clear" w:color="auto" w:fill="FFFFFF"/>
        </w:rPr>
        <w:t>V</w:t>
      </w:r>
      <w:r w:rsidRPr="00DF5648">
        <w:rPr>
          <w:rFonts w:ascii="Open Sans" w:hAnsi="Open Sans" w:cs="Open Sans"/>
          <w:color w:val="000000" w:themeColor="text1"/>
          <w:shd w:val="clear" w:color="auto" w:fill="FFFFFF"/>
        </w:rPr>
        <w:t xml:space="preserve">ery rare for the same professional to be able to concurrently serve both groups of people effectively without </w:t>
      </w:r>
      <w:proofErr w:type="gramStart"/>
      <w:r w:rsidRPr="00DF5648">
        <w:rPr>
          <w:rFonts w:ascii="Open Sans" w:hAnsi="Open Sans" w:cs="Open Sans"/>
          <w:color w:val="000000" w:themeColor="text1"/>
          <w:shd w:val="clear" w:color="auto" w:fill="FFFFFF"/>
        </w:rPr>
        <w:t>fairly significant</w:t>
      </w:r>
      <w:proofErr w:type="gramEnd"/>
      <w:r w:rsidRPr="00DF5648">
        <w:rPr>
          <w:rFonts w:ascii="Open Sans" w:hAnsi="Open Sans" w:cs="Open Sans"/>
          <w:color w:val="000000" w:themeColor="text1"/>
          <w:shd w:val="clear" w:color="auto" w:fill="FFFFFF"/>
        </w:rPr>
        <w:t xml:space="preserve"> strain on the provider, not to mention major concerns regarding conflicts of interest if the same individual is tasked with serving both parties. </w:t>
      </w:r>
    </w:p>
    <w:p w14:paraId="37517E42" w14:textId="4D80ED1A" w:rsidR="00DF5648" w:rsidRPr="00DF5648" w:rsidRDefault="00DF5648" w:rsidP="00DF5648">
      <w:pPr>
        <w:pStyle w:val="ListParagraph"/>
        <w:numPr>
          <w:ilvl w:val="0"/>
          <w:numId w:val="3"/>
        </w:numPr>
        <w:rPr>
          <w:rFonts w:ascii="Open Sans" w:hAnsi="Open Sans" w:cs="Open Sans"/>
          <w:b/>
          <w:bCs/>
          <w:color w:val="000000" w:themeColor="text1"/>
          <w:u w:val="single"/>
        </w:rPr>
      </w:pPr>
      <w:r>
        <w:rPr>
          <w:rFonts w:ascii="Open Sans" w:hAnsi="Open Sans" w:cs="Open Sans"/>
          <w:color w:val="000000" w:themeColor="text1"/>
          <w:shd w:val="clear" w:color="auto" w:fill="FFFFFF"/>
        </w:rPr>
        <w:t>S</w:t>
      </w:r>
      <w:r w:rsidRPr="00DF5648">
        <w:rPr>
          <w:rFonts w:ascii="Open Sans" w:hAnsi="Open Sans" w:cs="Open Sans"/>
          <w:color w:val="000000" w:themeColor="text1"/>
          <w:shd w:val="clear" w:color="auto" w:fill="FFFFFF"/>
        </w:rPr>
        <w:t>erving people causing harm is its own specific skill set, which would require its own targeted recruitment and retention plan that will look different from the interview process for a survivor advocate.</w:t>
      </w:r>
    </w:p>
    <w:p w14:paraId="5D06375C" w14:textId="6EC0657A" w:rsidR="00DF5648" w:rsidRPr="00DF5648" w:rsidRDefault="00DF5648" w:rsidP="00DF5648">
      <w:pPr>
        <w:pStyle w:val="ListParagraph"/>
        <w:numPr>
          <w:ilvl w:val="0"/>
          <w:numId w:val="3"/>
        </w:numPr>
        <w:rPr>
          <w:rFonts w:ascii="Open Sans" w:hAnsi="Open Sans" w:cs="Open Sans"/>
          <w:b/>
          <w:bCs/>
          <w:color w:val="000000" w:themeColor="text1"/>
          <w:u w:val="single"/>
        </w:rPr>
      </w:pPr>
      <w:r w:rsidRPr="00DF5648">
        <w:rPr>
          <w:rFonts w:ascii="Open Sans" w:hAnsi="Open Sans" w:cs="Open Sans"/>
          <w:color w:val="000000" w:themeColor="text1"/>
          <w:shd w:val="clear" w:color="auto" w:fill="FFFFFF"/>
        </w:rPr>
        <w:t xml:space="preserve">Respondent and Survivor Support/Advocacy are entirely different skill sets. </w:t>
      </w:r>
      <w:hyperlink r:id="rId9" w:history="1">
        <w:r w:rsidRPr="00DF5648">
          <w:rPr>
            <w:rStyle w:val="Hyperlink"/>
            <w:rFonts w:ascii="Open Sans" w:hAnsi="Open Sans" w:cs="Open Sans"/>
            <w:shd w:val="clear" w:color="auto" w:fill="FFFFFF"/>
          </w:rPr>
          <w:t>MASOC</w:t>
        </w:r>
      </w:hyperlink>
      <w:r w:rsidRPr="00DF5648">
        <w:rPr>
          <w:rFonts w:ascii="Open Sans" w:hAnsi="Open Sans" w:cs="Open Sans"/>
          <w:color w:val="000000" w:themeColor="text1"/>
          <w:shd w:val="clear" w:color="auto" w:fill="FFFFFF"/>
        </w:rPr>
        <w:t xml:space="preserve"> states: “there are completely different conferences and completely different journals and completely different professional organizations for those who work with those who have been harmed and those who have harmed.” </w:t>
      </w:r>
    </w:p>
    <w:p w14:paraId="04AADF28" w14:textId="423BD028" w:rsidR="00DF5648" w:rsidRPr="00DF5648" w:rsidRDefault="006E3D79" w:rsidP="00DF5648">
      <w:pPr>
        <w:pStyle w:val="ListParagraph"/>
        <w:numPr>
          <w:ilvl w:val="0"/>
          <w:numId w:val="3"/>
        </w:numPr>
        <w:rPr>
          <w:rFonts w:ascii="Open Sans" w:hAnsi="Open Sans" w:cs="Open Sans"/>
          <w:b/>
          <w:bCs/>
          <w:color w:val="000000" w:themeColor="text1"/>
          <w:u w:val="single"/>
        </w:rPr>
      </w:pPr>
      <w:r>
        <w:rPr>
          <w:rFonts w:ascii="Open Sans" w:hAnsi="Open Sans" w:cs="Open Sans"/>
          <w:color w:val="000000" w:themeColor="text1"/>
          <w:shd w:val="clear" w:color="auto" w:fill="FFFFFF"/>
        </w:rPr>
        <w:t>T</w:t>
      </w:r>
      <w:r w:rsidR="00DF5648" w:rsidRPr="00DF5648">
        <w:rPr>
          <w:rFonts w:ascii="Open Sans" w:hAnsi="Open Sans" w:cs="Open Sans"/>
          <w:color w:val="000000" w:themeColor="text1"/>
          <w:shd w:val="clear" w:color="auto" w:fill="FFFFFF"/>
        </w:rPr>
        <w:t>his is a HUGE conflict of interest as the job of a Survivor Advocate is to believe the Survivor unequivocally and asking them to also play that role for the </w:t>
      </w:r>
      <w:r w:rsidR="00DF5648" w:rsidRPr="00DF5648">
        <w:rPr>
          <w:rStyle w:val="il"/>
          <w:rFonts w:ascii="Open Sans" w:hAnsi="Open Sans" w:cs="Open Sans"/>
          <w:color w:val="000000" w:themeColor="text1"/>
          <w:shd w:val="clear" w:color="auto" w:fill="FFFFFF"/>
        </w:rPr>
        <w:t>respondent</w:t>
      </w:r>
      <w:r w:rsidR="00DF5648" w:rsidRPr="00DF5648">
        <w:rPr>
          <w:rFonts w:ascii="Open Sans" w:hAnsi="Open Sans" w:cs="Open Sans"/>
          <w:color w:val="000000" w:themeColor="text1"/>
          <w:shd w:val="clear" w:color="auto" w:fill="FFFFFF"/>
        </w:rPr>
        <w:t> goes against the very definition of what it is to be a survivor’s advocate.</w:t>
      </w:r>
    </w:p>
    <w:p w14:paraId="1C166109" w14:textId="7009B289" w:rsidR="00DF5648" w:rsidRPr="00DF5648" w:rsidRDefault="00DF5648" w:rsidP="00DF5648">
      <w:pPr>
        <w:pStyle w:val="ListParagraph"/>
        <w:numPr>
          <w:ilvl w:val="0"/>
          <w:numId w:val="3"/>
        </w:numPr>
        <w:rPr>
          <w:rFonts w:ascii="Open Sans" w:hAnsi="Open Sans" w:cs="Open Sans"/>
          <w:b/>
          <w:bCs/>
          <w:color w:val="000000" w:themeColor="text1"/>
          <w:u w:val="single"/>
        </w:rPr>
      </w:pPr>
      <w:r w:rsidRPr="00DF5648">
        <w:rPr>
          <w:rFonts w:ascii="Open Sans" w:hAnsi="Open Sans" w:cs="Open Sans"/>
          <w:color w:val="000000" w:themeColor="text1"/>
          <w:shd w:val="clear" w:color="auto" w:fill="FFFFFF"/>
        </w:rPr>
        <w:t>It can be challenging even as a supervisor of staff working with people on multiple sides of a case to hear details from many sides.  If the same advocate was working with multiple parties involved in a case, it would be extremely challenging to stay unbiased and truly advocate for what’s best for each student when those things may be in conflict.</w:t>
      </w:r>
    </w:p>
    <w:p w14:paraId="4D4461F1" w14:textId="47A3B01A" w:rsidR="00DF5648" w:rsidRPr="00DF5648" w:rsidRDefault="00DF5648" w:rsidP="00DD77E8">
      <w:pPr>
        <w:pStyle w:val="ListParagraph"/>
        <w:numPr>
          <w:ilvl w:val="0"/>
          <w:numId w:val="3"/>
        </w:numPr>
        <w:rPr>
          <w:rFonts w:ascii="Open Sans" w:hAnsi="Open Sans" w:cs="Open Sans"/>
          <w:b/>
          <w:bCs/>
          <w:color w:val="000000" w:themeColor="text1"/>
          <w:u w:val="single"/>
        </w:rPr>
      </w:pPr>
      <w:r w:rsidRPr="00DF5648">
        <w:rPr>
          <w:rFonts w:ascii="Open Sans" w:hAnsi="Open Sans" w:cs="Open Sans"/>
          <w:color w:val="000000" w:themeColor="text1"/>
          <w:shd w:val="clear" w:color="auto" w:fill="FFFFFF"/>
        </w:rPr>
        <w:t xml:space="preserve">Many survivors choose their advocate to be their process advisor for investigations, and as an advisor, you really can't and shouldn't have ever met with the other party because it's all about building a case against them. </w:t>
      </w:r>
    </w:p>
    <w:p w14:paraId="7A42AD4C" w14:textId="613365CA" w:rsidR="00DF5648" w:rsidRPr="00DF5648" w:rsidRDefault="00DF5648" w:rsidP="00DF5648">
      <w:pPr>
        <w:numPr>
          <w:ilvl w:val="0"/>
          <w:numId w:val="3"/>
        </w:numPr>
        <w:shd w:val="clear" w:color="auto" w:fill="FFFFFF"/>
        <w:spacing w:before="100" w:beforeAutospacing="1" w:after="100" w:afterAutospacing="1"/>
        <w:rPr>
          <w:rFonts w:ascii="Open Sans" w:eastAsia="Times New Roman" w:hAnsi="Open Sans" w:cs="Open Sans"/>
          <w:color w:val="000000" w:themeColor="text1"/>
          <w:kern w:val="0"/>
          <w14:ligatures w14:val="none"/>
        </w:rPr>
      </w:pPr>
      <w:r w:rsidRPr="00DF5648">
        <w:rPr>
          <w:rFonts w:ascii="Open Sans" w:eastAsia="Times New Roman" w:hAnsi="Open Sans" w:cs="Open Sans"/>
          <w:color w:val="000000" w:themeColor="text1"/>
          <w:kern w:val="0"/>
          <w14:ligatures w14:val="none"/>
        </w:rPr>
        <w:t>If the person is licensed, providing support to both would be considered a conflict and could affect their licensure. </w:t>
      </w:r>
    </w:p>
    <w:p w14:paraId="6AFF3EFB" w14:textId="77777777" w:rsidR="00DF5648" w:rsidRPr="00DF5648" w:rsidRDefault="00DF5648" w:rsidP="00DF5648">
      <w:pPr>
        <w:numPr>
          <w:ilvl w:val="0"/>
          <w:numId w:val="3"/>
        </w:numPr>
        <w:shd w:val="clear" w:color="auto" w:fill="FFFFFF"/>
        <w:spacing w:before="100" w:beforeAutospacing="1" w:after="100" w:afterAutospacing="1"/>
        <w:rPr>
          <w:rFonts w:ascii="Open Sans" w:eastAsia="Times New Roman" w:hAnsi="Open Sans" w:cs="Open Sans"/>
          <w:color w:val="000000" w:themeColor="text1"/>
          <w:kern w:val="0"/>
          <w14:ligatures w14:val="none"/>
        </w:rPr>
      </w:pPr>
      <w:r w:rsidRPr="00DF5648">
        <w:rPr>
          <w:rFonts w:ascii="Open Sans" w:eastAsia="Times New Roman" w:hAnsi="Open Sans" w:cs="Open Sans"/>
          <w:color w:val="000000" w:themeColor="text1"/>
          <w:kern w:val="0"/>
          <w14:ligatures w14:val="none"/>
        </w:rPr>
        <w:t>Retention and hiring-I suspect that it would be much harder to hire and retain someone to do both.</w:t>
      </w:r>
    </w:p>
    <w:p w14:paraId="5AB0BEC5" w14:textId="16AF3481" w:rsidR="00DF5648" w:rsidRPr="00DF5648" w:rsidRDefault="006E3D79" w:rsidP="00DF5648">
      <w:pPr>
        <w:pStyle w:val="ListParagraph"/>
        <w:numPr>
          <w:ilvl w:val="0"/>
          <w:numId w:val="3"/>
        </w:numPr>
        <w:shd w:val="clear" w:color="auto" w:fill="FFFFFF"/>
        <w:rPr>
          <w:rFonts w:ascii="Open Sans" w:eastAsia="Times New Roman" w:hAnsi="Open Sans" w:cs="Open Sans"/>
          <w:color w:val="000000" w:themeColor="text1"/>
          <w:kern w:val="0"/>
          <w14:ligatures w14:val="none"/>
        </w:rPr>
      </w:pPr>
      <w:r>
        <w:rPr>
          <w:rFonts w:ascii="Open Sans" w:eastAsia="Times New Roman" w:hAnsi="Open Sans" w:cs="Open Sans"/>
          <w:color w:val="000000" w:themeColor="text1"/>
          <w:kern w:val="0"/>
          <w14:ligatures w14:val="none"/>
        </w:rPr>
        <w:t>W</w:t>
      </w:r>
      <w:r w:rsidR="00DF5648" w:rsidRPr="00DF5648">
        <w:rPr>
          <w:rFonts w:ascii="Open Sans" w:eastAsia="Times New Roman" w:hAnsi="Open Sans" w:cs="Open Sans"/>
          <w:color w:val="000000" w:themeColor="text1"/>
          <w:kern w:val="0"/>
          <w14:ligatures w14:val="none"/>
        </w:rPr>
        <w:t xml:space="preserve">hen I think of hiring this would </w:t>
      </w:r>
      <w:proofErr w:type="gramStart"/>
      <w:r w:rsidR="00DF5648" w:rsidRPr="00DF5648">
        <w:rPr>
          <w:rFonts w:ascii="Open Sans" w:eastAsia="Times New Roman" w:hAnsi="Open Sans" w:cs="Open Sans"/>
          <w:color w:val="000000" w:themeColor="text1"/>
          <w:kern w:val="0"/>
          <w14:ligatures w14:val="none"/>
        </w:rPr>
        <w:t>definitely make</w:t>
      </w:r>
      <w:proofErr w:type="gramEnd"/>
      <w:r w:rsidR="00DF5648" w:rsidRPr="00DF5648">
        <w:rPr>
          <w:rFonts w:ascii="Open Sans" w:eastAsia="Times New Roman" w:hAnsi="Open Sans" w:cs="Open Sans"/>
          <w:color w:val="000000" w:themeColor="text1"/>
          <w:kern w:val="0"/>
          <w14:ligatures w14:val="none"/>
        </w:rPr>
        <w:t xml:space="preserve"> some folks *not* apply if they knew they would have to support perps/accused.</w:t>
      </w:r>
    </w:p>
    <w:p w14:paraId="499371B2" w14:textId="77777777" w:rsidR="00DF5648" w:rsidRPr="00DF5648" w:rsidRDefault="00DF5648" w:rsidP="00DF5648">
      <w:pPr>
        <w:pStyle w:val="ListParagraph"/>
        <w:numPr>
          <w:ilvl w:val="0"/>
          <w:numId w:val="3"/>
        </w:numPr>
        <w:shd w:val="clear" w:color="auto" w:fill="FFFFFF"/>
        <w:rPr>
          <w:rFonts w:ascii="Open Sans" w:eastAsia="Times New Roman" w:hAnsi="Open Sans" w:cs="Open Sans"/>
          <w:color w:val="000000" w:themeColor="text1"/>
          <w:kern w:val="0"/>
          <w14:ligatures w14:val="none"/>
        </w:rPr>
      </w:pPr>
      <w:r w:rsidRPr="00DF5648">
        <w:rPr>
          <w:rFonts w:ascii="Open Sans" w:eastAsia="Times New Roman" w:hAnsi="Open Sans" w:cs="Open Sans"/>
          <w:color w:val="000000" w:themeColor="text1"/>
          <w:kern w:val="0"/>
          <w14:ligatures w14:val="none"/>
        </w:rPr>
        <w:t>We do not want to provide poor services to survivors just to say we are serving both parties. I say poor services because I imagine in many cases it would be difficult to find someone who would be willing and able to serve both and do it well. </w:t>
      </w:r>
    </w:p>
    <w:p w14:paraId="65971B10" w14:textId="77777777" w:rsidR="00DF5648" w:rsidRDefault="00DF5648" w:rsidP="00DF5648">
      <w:pPr>
        <w:rPr>
          <w:rFonts w:ascii="Open Sans" w:hAnsi="Open Sans" w:cs="Open Sans"/>
          <w:color w:val="000000" w:themeColor="text1"/>
        </w:rPr>
      </w:pPr>
    </w:p>
    <w:p w14:paraId="73A3387B" w14:textId="77777777" w:rsidR="004B2A50" w:rsidRDefault="004B2A50" w:rsidP="00DF5648">
      <w:pPr>
        <w:rPr>
          <w:rFonts w:ascii="Open Sans" w:hAnsi="Open Sans" w:cs="Open Sans"/>
          <w:color w:val="000000" w:themeColor="text1"/>
        </w:rPr>
      </w:pPr>
    </w:p>
    <w:p w14:paraId="32AF0CC0" w14:textId="77777777" w:rsidR="004B2A50" w:rsidRDefault="004B2A50" w:rsidP="00DF5648">
      <w:pPr>
        <w:rPr>
          <w:rFonts w:ascii="Open Sans" w:hAnsi="Open Sans" w:cs="Open Sans"/>
          <w:color w:val="000000" w:themeColor="text1"/>
        </w:rPr>
      </w:pPr>
    </w:p>
    <w:p w14:paraId="2BBD829B" w14:textId="63068F70" w:rsid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lastRenderedPageBreak/>
        <w:t>Types of Respondent Services</w:t>
      </w:r>
    </w:p>
    <w:p w14:paraId="249E82B9" w14:textId="74947621" w:rsidR="006E3D79" w:rsidRPr="006E3D79" w:rsidRDefault="006E3D79" w:rsidP="00DF5648">
      <w:pPr>
        <w:rPr>
          <w:rFonts w:ascii="Open Sans" w:hAnsi="Open Sans" w:cs="Open Sans"/>
          <w:color w:val="000000" w:themeColor="text1"/>
        </w:rPr>
      </w:pPr>
      <w:r>
        <w:rPr>
          <w:rFonts w:ascii="Open Sans" w:hAnsi="Open Sans" w:cs="Open Sans"/>
          <w:color w:val="000000" w:themeColor="text1"/>
        </w:rPr>
        <w:t>If you are looking at what one may provide, here are some elements of a respondent services role.</w:t>
      </w:r>
    </w:p>
    <w:p w14:paraId="20484B87"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Aiding the responding parties in accessing interim measures and/or academic accommodations</w:t>
      </w:r>
    </w:p>
    <w:p w14:paraId="10863E02"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 xml:space="preserve">Accompanying the responding party to conduct meeting or </w:t>
      </w:r>
      <w:proofErr w:type="gramStart"/>
      <w:r w:rsidRPr="00DF5648">
        <w:rPr>
          <w:rFonts w:ascii="Open Sans" w:hAnsi="Open Sans" w:cs="Open Sans"/>
          <w:color w:val="000000" w:themeColor="text1"/>
        </w:rPr>
        <w:t>hearings</w:t>
      </w:r>
      <w:proofErr w:type="gramEnd"/>
    </w:p>
    <w:p w14:paraId="09057C8A"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Operating as a liaison between the responding party and other offices</w:t>
      </w:r>
    </w:p>
    <w:p w14:paraId="32877B3F"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Explaining and assisting the responding party in understanding the investigation and/or hearing process</w:t>
      </w:r>
    </w:p>
    <w:p w14:paraId="128FF3CF"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Explaining and assisting the responding party in understanding his or her rights</w:t>
      </w:r>
    </w:p>
    <w:p w14:paraId="37891076"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Explaining and assisting the responding party in understanding protective orders</w:t>
      </w:r>
    </w:p>
    <w:p w14:paraId="2049448E"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Referring the responding party to legal resources</w:t>
      </w:r>
    </w:p>
    <w:p w14:paraId="35D7AC37"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Coordinating and referring the responding party to available campus resources</w:t>
      </w:r>
    </w:p>
    <w:p w14:paraId="2DF68F66"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Coordinating and referring the responding party to available off-campus resources</w:t>
      </w:r>
    </w:p>
    <w:p w14:paraId="66E81897"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Assisting the responding party in planning for maintaining boundaries and adhering to interim sanctions</w:t>
      </w:r>
    </w:p>
    <w:p w14:paraId="71043F34" w14:textId="77777777" w:rsidR="00DF5648" w:rsidRPr="00DF5648" w:rsidRDefault="00DF5648" w:rsidP="00DF5648">
      <w:pPr>
        <w:pStyle w:val="m-3755863879464293694msolistparagraph"/>
        <w:numPr>
          <w:ilvl w:val="0"/>
          <w:numId w:val="1"/>
        </w:numPr>
        <w:shd w:val="clear" w:color="auto" w:fill="FFFFFF"/>
        <w:spacing w:before="0" w:beforeAutospacing="0" w:after="0" w:afterAutospacing="0"/>
        <w:rPr>
          <w:rFonts w:ascii="Open Sans" w:hAnsi="Open Sans" w:cs="Open Sans"/>
          <w:color w:val="000000" w:themeColor="text1"/>
        </w:rPr>
      </w:pPr>
      <w:r w:rsidRPr="00DF5648">
        <w:rPr>
          <w:rFonts w:ascii="Open Sans" w:hAnsi="Open Sans" w:cs="Open Sans"/>
          <w:color w:val="000000" w:themeColor="text1"/>
        </w:rPr>
        <w:t>Planning for reentry/integration following removal from college/</w:t>
      </w:r>
      <w:proofErr w:type="gramStart"/>
      <w:r w:rsidRPr="00DF5648">
        <w:rPr>
          <w:rFonts w:ascii="Open Sans" w:hAnsi="Open Sans" w:cs="Open Sans"/>
          <w:color w:val="000000" w:themeColor="text1"/>
        </w:rPr>
        <w:t>university</w:t>
      </w:r>
      <w:proofErr w:type="gramEnd"/>
    </w:p>
    <w:p w14:paraId="684AD872" w14:textId="77777777" w:rsidR="00DF5648" w:rsidRPr="00DF5648" w:rsidRDefault="00DF5648" w:rsidP="00DF5648">
      <w:pPr>
        <w:rPr>
          <w:rFonts w:ascii="Open Sans" w:hAnsi="Open Sans" w:cs="Open Sans"/>
          <w:b/>
          <w:bCs/>
          <w:color w:val="000000" w:themeColor="text1"/>
          <w:u w:val="single"/>
        </w:rPr>
      </w:pPr>
    </w:p>
    <w:p w14:paraId="1A5E7AD0" w14:textId="77777777" w:rsidR="00DF5648" w:rsidRPr="00DF5648" w:rsidRDefault="00DF5648" w:rsidP="00DF5648">
      <w:pPr>
        <w:rPr>
          <w:rFonts w:ascii="Open Sans" w:hAnsi="Open Sans" w:cs="Open Sans"/>
          <w:b/>
          <w:bCs/>
          <w:color w:val="000000" w:themeColor="text1"/>
          <w:u w:val="single"/>
        </w:rPr>
      </w:pPr>
      <w:r w:rsidRPr="00DF5648">
        <w:rPr>
          <w:rFonts w:ascii="Open Sans" w:hAnsi="Open Sans" w:cs="Open Sans"/>
          <w:b/>
          <w:bCs/>
          <w:color w:val="000000" w:themeColor="text1"/>
          <w:u w:val="single"/>
        </w:rPr>
        <w:t>Resources</w:t>
      </w:r>
    </w:p>
    <w:p w14:paraId="359A3888" w14:textId="77777777" w:rsidR="00DF5648" w:rsidRPr="00DF5648" w:rsidRDefault="00DF5648" w:rsidP="00DF5648">
      <w:pPr>
        <w:pStyle w:val="ListParagraph"/>
        <w:numPr>
          <w:ilvl w:val="0"/>
          <w:numId w:val="2"/>
        </w:numPr>
        <w:rPr>
          <w:rFonts w:ascii="Open Sans" w:hAnsi="Open Sans" w:cs="Open Sans"/>
          <w:color w:val="000000" w:themeColor="text1"/>
          <w:shd w:val="clear" w:color="auto" w:fill="FFFFFF"/>
        </w:rPr>
      </w:pPr>
      <w:r w:rsidRPr="00DF5648">
        <w:rPr>
          <w:rFonts w:ascii="Open Sans" w:hAnsi="Open Sans" w:cs="Open Sans"/>
          <w:color w:val="000000" w:themeColor="text1"/>
          <w:shd w:val="clear" w:color="auto" w:fill="FFFFFF"/>
        </w:rPr>
        <w:t xml:space="preserve">University of California, Santa Cruz, offers excellent </w:t>
      </w:r>
      <w:r w:rsidRPr="00DF5648">
        <w:rPr>
          <w:rStyle w:val="il"/>
          <w:rFonts w:ascii="Open Sans" w:hAnsi="Open Sans" w:cs="Open Sans"/>
          <w:color w:val="000000" w:themeColor="text1"/>
          <w:shd w:val="clear" w:color="auto" w:fill="FFFFFF"/>
        </w:rPr>
        <w:t>respondent</w:t>
      </w:r>
      <w:r w:rsidRPr="00DF5648">
        <w:rPr>
          <w:rFonts w:ascii="Open Sans" w:hAnsi="Open Sans" w:cs="Open Sans"/>
          <w:color w:val="000000" w:themeColor="text1"/>
          <w:shd w:val="clear" w:color="auto" w:fill="FFFFFF"/>
        </w:rPr>
        <w:t> services to students who are being charged with any sort of conduct violation (</w:t>
      </w:r>
      <w:hyperlink r:id="rId10" w:tgtFrame="_blank" w:history="1">
        <w:r w:rsidRPr="00DF5648">
          <w:rPr>
            <w:rStyle w:val="Hyperlink"/>
            <w:rFonts w:ascii="Open Sans" w:hAnsi="Open Sans" w:cs="Open Sans"/>
            <w:color w:val="000000" w:themeColor="text1"/>
            <w:shd w:val="clear" w:color="auto" w:fill="FFFFFF"/>
          </w:rPr>
          <w:t>https://</w:t>
        </w:r>
        <w:r w:rsidRPr="00DF5648">
          <w:rPr>
            <w:rStyle w:val="il"/>
            <w:rFonts w:ascii="Open Sans" w:hAnsi="Open Sans" w:cs="Open Sans"/>
            <w:color w:val="000000" w:themeColor="text1"/>
            <w:u w:val="single"/>
            <w:shd w:val="clear" w:color="auto" w:fill="FFFFFF"/>
          </w:rPr>
          <w:t>respondent</w:t>
        </w:r>
        <w:r w:rsidRPr="00DF5648">
          <w:rPr>
            <w:rStyle w:val="Hyperlink"/>
            <w:rFonts w:ascii="Open Sans" w:hAnsi="Open Sans" w:cs="Open Sans"/>
            <w:color w:val="000000" w:themeColor="text1"/>
            <w:shd w:val="clear" w:color="auto" w:fill="FFFFFF"/>
          </w:rPr>
          <w:t>.ucsc.edu/</w:t>
        </w:r>
      </w:hyperlink>
      <w:r w:rsidRPr="00DF5648">
        <w:rPr>
          <w:rFonts w:ascii="Open Sans" w:hAnsi="Open Sans" w:cs="Open Sans"/>
          <w:color w:val="000000" w:themeColor="text1"/>
          <w:shd w:val="clear" w:color="auto" w:fill="FFFFFF"/>
        </w:rPr>
        <w:t>)</w:t>
      </w:r>
    </w:p>
    <w:p w14:paraId="7877915E" w14:textId="77777777" w:rsidR="00DF5648" w:rsidRPr="00DF5648" w:rsidRDefault="00000000" w:rsidP="00DF5648">
      <w:pPr>
        <w:pStyle w:val="ListParagraph"/>
        <w:numPr>
          <w:ilvl w:val="0"/>
          <w:numId w:val="2"/>
        </w:numPr>
        <w:rPr>
          <w:rFonts w:ascii="Open Sans" w:hAnsi="Open Sans" w:cs="Open Sans"/>
          <w:color w:val="000000" w:themeColor="text1"/>
          <w:shd w:val="clear" w:color="auto" w:fill="FFFFFF"/>
        </w:rPr>
      </w:pPr>
      <w:hyperlink r:id="rId11" w:history="1">
        <w:r w:rsidR="00DF5648" w:rsidRPr="00DF5648">
          <w:rPr>
            <w:rStyle w:val="Hyperlink"/>
            <w:rFonts w:ascii="Open Sans" w:hAnsi="Open Sans" w:cs="Open Sans"/>
            <w:color w:val="000000" w:themeColor="text1"/>
            <w:shd w:val="clear" w:color="auto" w:fill="FFFFFF"/>
          </w:rPr>
          <w:t>Expanding the Frame: Institutional Responses to Students Accused of Sexual Misconduct</w:t>
        </w:r>
      </w:hyperlink>
      <w:r w:rsidR="00DF5648" w:rsidRPr="00DF5648">
        <w:rPr>
          <w:rFonts w:ascii="Open Sans" w:hAnsi="Open Sans" w:cs="Open Sans"/>
          <w:color w:val="000000" w:themeColor="text1"/>
          <w:shd w:val="clear" w:color="auto" w:fill="FFFFFF"/>
        </w:rPr>
        <w:t>, NASPA, 2020</w:t>
      </w:r>
    </w:p>
    <w:p w14:paraId="1E10CCCB" w14:textId="77777777" w:rsidR="00DF5648" w:rsidRPr="00DF5648" w:rsidRDefault="00DF5648" w:rsidP="00DF5648">
      <w:pPr>
        <w:pStyle w:val="ListParagraph"/>
        <w:numPr>
          <w:ilvl w:val="1"/>
          <w:numId w:val="2"/>
        </w:numPr>
        <w:rPr>
          <w:rFonts w:ascii="Open Sans" w:hAnsi="Open Sans" w:cs="Open Sans"/>
          <w:color w:val="000000" w:themeColor="text1"/>
          <w:shd w:val="clear" w:color="auto" w:fill="FFFFFF"/>
        </w:rPr>
      </w:pPr>
      <w:r w:rsidRPr="00DF5648">
        <w:rPr>
          <w:rFonts w:ascii="Open Sans" w:hAnsi="Open Sans" w:cs="Open Sans"/>
          <w:color w:val="000000" w:themeColor="text1"/>
          <w:shd w:val="clear" w:color="auto" w:fill="FFFFFF"/>
        </w:rPr>
        <w:t>“The authors of this study caution against the use of survivor advocates as </w:t>
      </w:r>
      <w:r w:rsidRPr="00DF5648">
        <w:rPr>
          <w:rStyle w:val="il"/>
          <w:rFonts w:ascii="Open Sans" w:hAnsi="Open Sans" w:cs="Open Sans"/>
          <w:color w:val="000000" w:themeColor="text1"/>
          <w:shd w:val="clear" w:color="auto" w:fill="FFFFFF"/>
        </w:rPr>
        <w:t>respondent</w:t>
      </w:r>
      <w:r w:rsidRPr="00DF5648">
        <w:rPr>
          <w:rFonts w:ascii="Open Sans" w:hAnsi="Open Sans" w:cs="Open Sans"/>
          <w:color w:val="000000" w:themeColor="text1"/>
          <w:shd w:val="clear" w:color="auto" w:fill="FFFFFF"/>
        </w:rPr>
        <w:t> support personnel for a variety of reasons. Most experts for victim and survivor services do not have the expertise to work with students who exhibit problematic sexual behaviors, have been found responsible for sexual misconduct and are returning to campus, or simply someone concerned about their own behaviors and seeking counseling services. Asking survivor advocates to serve these students could also create the perception of bias against a responding party.” (p. 22)</w:t>
      </w:r>
    </w:p>
    <w:p w14:paraId="5AC73837" w14:textId="0C0F6DF0" w:rsidR="00DF5648" w:rsidRPr="004B2A50" w:rsidRDefault="00000000" w:rsidP="00DF5648">
      <w:pPr>
        <w:pStyle w:val="ListParagraph"/>
        <w:numPr>
          <w:ilvl w:val="0"/>
          <w:numId w:val="2"/>
        </w:numPr>
        <w:rPr>
          <w:rFonts w:ascii="Open Sans" w:hAnsi="Open Sans" w:cs="Open Sans"/>
          <w:color w:val="000000" w:themeColor="text1"/>
          <w:shd w:val="clear" w:color="auto" w:fill="FFFFFF"/>
        </w:rPr>
      </w:pPr>
      <w:hyperlink r:id="rId12" w:history="1">
        <w:r w:rsidR="00DF5648" w:rsidRPr="00DF5648">
          <w:rPr>
            <w:rStyle w:val="Hyperlink"/>
            <w:rFonts w:ascii="Open Sans" w:hAnsi="Open Sans" w:cs="Open Sans"/>
            <w:color w:val="000000" w:themeColor="text1"/>
            <w:shd w:val="clear" w:color="auto" w:fill="FFFFFF"/>
          </w:rPr>
          <w:t>Campus Interpersonal Violence Survivor Advocacy Services</w:t>
        </w:r>
      </w:hyperlink>
      <w:r w:rsidR="00DF5648" w:rsidRPr="00DF5648">
        <w:rPr>
          <w:rFonts w:ascii="Open Sans" w:hAnsi="Open Sans" w:cs="Open Sans"/>
          <w:color w:val="000000" w:themeColor="text1"/>
          <w:shd w:val="clear" w:color="auto" w:fill="FFFFFF"/>
        </w:rPr>
        <w:t>, Klein, Brewer, Cloy et al, May 2023</w:t>
      </w:r>
    </w:p>
    <w:sectPr w:rsidR="00DF5648" w:rsidRPr="004B2A50">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43460" w14:textId="77777777" w:rsidR="00D435AB" w:rsidRDefault="00D435AB" w:rsidP="006E3D79">
      <w:r>
        <w:separator/>
      </w:r>
    </w:p>
  </w:endnote>
  <w:endnote w:type="continuationSeparator" w:id="0">
    <w:p w14:paraId="7433E23B" w14:textId="77777777" w:rsidR="00D435AB" w:rsidRDefault="00D435AB" w:rsidP="006E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5186860"/>
      <w:docPartObj>
        <w:docPartGallery w:val="Page Numbers (Bottom of Page)"/>
        <w:docPartUnique/>
      </w:docPartObj>
    </w:sdtPr>
    <w:sdtContent>
      <w:p w14:paraId="2D04C5D8" w14:textId="0AA0E664" w:rsidR="006E3D79" w:rsidRDefault="006E3D79" w:rsidP="001A0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97221E" w14:textId="77777777" w:rsidR="006E3D79" w:rsidRDefault="006E3D79" w:rsidP="006E3D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055595"/>
      <w:docPartObj>
        <w:docPartGallery w:val="Page Numbers (Bottom of Page)"/>
        <w:docPartUnique/>
      </w:docPartObj>
    </w:sdtPr>
    <w:sdtContent>
      <w:p w14:paraId="6698694D" w14:textId="0F2263B1" w:rsidR="006E3D79" w:rsidRDefault="006E3D79" w:rsidP="001A0E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5E7416" w14:textId="77777777" w:rsidR="006E3D79" w:rsidRDefault="006E3D79" w:rsidP="006E3D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E1735" w14:textId="77777777" w:rsidR="00D435AB" w:rsidRDefault="00D435AB" w:rsidP="006E3D79">
      <w:r>
        <w:separator/>
      </w:r>
    </w:p>
  </w:footnote>
  <w:footnote w:type="continuationSeparator" w:id="0">
    <w:p w14:paraId="1167A63B" w14:textId="77777777" w:rsidR="00D435AB" w:rsidRDefault="00D435AB" w:rsidP="006E3D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5887"/>
    <w:multiLevelType w:val="multilevel"/>
    <w:tmpl w:val="1186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28371B"/>
    <w:multiLevelType w:val="multilevel"/>
    <w:tmpl w:val="8A1E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5C7112"/>
    <w:multiLevelType w:val="hybridMultilevel"/>
    <w:tmpl w:val="0E80B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F33A1"/>
    <w:multiLevelType w:val="hybridMultilevel"/>
    <w:tmpl w:val="C60E7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24475F"/>
    <w:multiLevelType w:val="hybridMultilevel"/>
    <w:tmpl w:val="7F126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515ADE"/>
    <w:multiLevelType w:val="hybridMultilevel"/>
    <w:tmpl w:val="7ADA8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C945AF"/>
    <w:multiLevelType w:val="multilevel"/>
    <w:tmpl w:val="2312D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E80C08"/>
    <w:multiLevelType w:val="multilevel"/>
    <w:tmpl w:val="5E52F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0B41CE"/>
    <w:multiLevelType w:val="hybridMultilevel"/>
    <w:tmpl w:val="7CA2E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2232017">
    <w:abstractNumId w:val="1"/>
  </w:num>
  <w:num w:numId="2" w16cid:durableId="1144197141">
    <w:abstractNumId w:val="4"/>
  </w:num>
  <w:num w:numId="3" w16cid:durableId="1862740738">
    <w:abstractNumId w:val="3"/>
  </w:num>
  <w:num w:numId="4" w16cid:durableId="537426022">
    <w:abstractNumId w:val="5"/>
  </w:num>
  <w:num w:numId="5" w16cid:durableId="612372178">
    <w:abstractNumId w:val="8"/>
  </w:num>
  <w:num w:numId="6" w16cid:durableId="73208625">
    <w:abstractNumId w:val="7"/>
  </w:num>
  <w:num w:numId="7" w16cid:durableId="1518617204">
    <w:abstractNumId w:val="2"/>
  </w:num>
  <w:num w:numId="8" w16cid:durableId="999191012">
    <w:abstractNumId w:val="0"/>
  </w:num>
  <w:num w:numId="9" w16cid:durableId="15144954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648"/>
    <w:rsid w:val="00257303"/>
    <w:rsid w:val="004B2A50"/>
    <w:rsid w:val="00564F02"/>
    <w:rsid w:val="006E3D79"/>
    <w:rsid w:val="00745F84"/>
    <w:rsid w:val="00D3459E"/>
    <w:rsid w:val="00D435AB"/>
    <w:rsid w:val="00DF5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AB055A"/>
  <w15:chartTrackingRefBased/>
  <w15:docId w15:val="{D276F690-536A-E846-A4FA-EDDC0DC75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3755863879464293694msolistparagraph">
    <w:name w:val="m_-3755863879464293694msolistparagraph"/>
    <w:basedOn w:val="Normal"/>
    <w:rsid w:val="00DF5648"/>
    <w:pPr>
      <w:spacing w:before="100" w:beforeAutospacing="1" w:after="100" w:afterAutospacing="1"/>
    </w:pPr>
    <w:rPr>
      <w:rFonts w:ascii="Times New Roman" w:eastAsia="Times New Roman" w:hAnsi="Times New Roman" w:cs="Times New Roman"/>
      <w:kern w:val="0"/>
      <w14:ligatures w14:val="none"/>
    </w:rPr>
  </w:style>
  <w:style w:type="character" w:customStyle="1" w:styleId="il">
    <w:name w:val="il"/>
    <w:basedOn w:val="DefaultParagraphFont"/>
    <w:rsid w:val="00DF5648"/>
  </w:style>
  <w:style w:type="character" w:styleId="Hyperlink">
    <w:name w:val="Hyperlink"/>
    <w:basedOn w:val="DefaultParagraphFont"/>
    <w:uiPriority w:val="99"/>
    <w:unhideWhenUsed/>
    <w:rsid w:val="00DF5648"/>
    <w:rPr>
      <w:color w:val="0000FF"/>
      <w:u w:val="single"/>
    </w:rPr>
  </w:style>
  <w:style w:type="paragraph" w:styleId="ListParagraph">
    <w:name w:val="List Paragraph"/>
    <w:basedOn w:val="Normal"/>
    <w:uiPriority w:val="34"/>
    <w:qFormat/>
    <w:rsid w:val="00DF5648"/>
    <w:pPr>
      <w:ind w:left="720"/>
      <w:contextualSpacing/>
    </w:pPr>
  </w:style>
  <w:style w:type="character" w:styleId="UnresolvedMention">
    <w:name w:val="Unresolved Mention"/>
    <w:basedOn w:val="DefaultParagraphFont"/>
    <w:uiPriority w:val="99"/>
    <w:semiHidden/>
    <w:unhideWhenUsed/>
    <w:rsid w:val="00DF5648"/>
    <w:rPr>
      <w:color w:val="605E5C"/>
      <w:shd w:val="clear" w:color="auto" w:fill="E1DFDD"/>
    </w:rPr>
  </w:style>
  <w:style w:type="paragraph" w:customStyle="1" w:styleId="m4761910068196544160msolistparagraph">
    <w:name w:val="m_4761910068196544160msolistparagraph"/>
    <w:basedOn w:val="Normal"/>
    <w:rsid w:val="00DF5648"/>
    <w:pPr>
      <w:spacing w:before="100" w:beforeAutospacing="1" w:after="100" w:afterAutospacing="1"/>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6E3D79"/>
    <w:pPr>
      <w:tabs>
        <w:tab w:val="center" w:pos="4680"/>
        <w:tab w:val="right" w:pos="9360"/>
      </w:tabs>
    </w:pPr>
  </w:style>
  <w:style w:type="character" w:customStyle="1" w:styleId="FooterChar">
    <w:name w:val="Footer Char"/>
    <w:basedOn w:val="DefaultParagraphFont"/>
    <w:link w:val="Footer"/>
    <w:uiPriority w:val="99"/>
    <w:rsid w:val="006E3D79"/>
  </w:style>
  <w:style w:type="character" w:styleId="PageNumber">
    <w:name w:val="page number"/>
    <w:basedOn w:val="DefaultParagraphFont"/>
    <w:uiPriority w:val="99"/>
    <w:semiHidden/>
    <w:unhideWhenUsed/>
    <w:rsid w:val="006E3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55131">
      <w:bodyDiv w:val="1"/>
      <w:marLeft w:val="0"/>
      <w:marRight w:val="0"/>
      <w:marTop w:val="0"/>
      <w:marBottom w:val="0"/>
      <w:divBdr>
        <w:top w:val="none" w:sz="0" w:space="0" w:color="auto"/>
        <w:left w:val="none" w:sz="0" w:space="0" w:color="auto"/>
        <w:bottom w:val="none" w:sz="0" w:space="0" w:color="auto"/>
        <w:right w:val="none" w:sz="0" w:space="0" w:color="auto"/>
      </w:divBdr>
    </w:div>
    <w:div w:id="987519247">
      <w:bodyDiv w:val="1"/>
      <w:marLeft w:val="0"/>
      <w:marRight w:val="0"/>
      <w:marTop w:val="0"/>
      <w:marBottom w:val="0"/>
      <w:divBdr>
        <w:top w:val="none" w:sz="0" w:space="0" w:color="auto"/>
        <w:left w:val="none" w:sz="0" w:space="0" w:color="auto"/>
        <w:bottom w:val="none" w:sz="0" w:space="0" w:color="auto"/>
        <w:right w:val="none" w:sz="0" w:space="0" w:color="auto"/>
      </w:divBdr>
    </w:div>
    <w:div w:id="1010840323">
      <w:bodyDiv w:val="1"/>
      <w:marLeft w:val="0"/>
      <w:marRight w:val="0"/>
      <w:marTop w:val="0"/>
      <w:marBottom w:val="0"/>
      <w:divBdr>
        <w:top w:val="none" w:sz="0" w:space="0" w:color="auto"/>
        <w:left w:val="none" w:sz="0" w:space="0" w:color="auto"/>
        <w:bottom w:val="none" w:sz="0" w:space="0" w:color="auto"/>
        <w:right w:val="none" w:sz="0" w:space="0" w:color="auto"/>
      </w:divBdr>
      <w:divsChild>
        <w:div w:id="2136755160">
          <w:marLeft w:val="0"/>
          <w:marRight w:val="0"/>
          <w:marTop w:val="0"/>
          <w:marBottom w:val="0"/>
          <w:divBdr>
            <w:top w:val="none" w:sz="0" w:space="0" w:color="auto"/>
            <w:left w:val="none" w:sz="0" w:space="0" w:color="auto"/>
            <w:bottom w:val="none" w:sz="0" w:space="0" w:color="auto"/>
            <w:right w:val="none" w:sz="0" w:space="0" w:color="auto"/>
          </w:divBdr>
        </w:div>
        <w:div w:id="760177551">
          <w:marLeft w:val="0"/>
          <w:marRight w:val="0"/>
          <w:marTop w:val="0"/>
          <w:marBottom w:val="0"/>
          <w:divBdr>
            <w:top w:val="none" w:sz="0" w:space="0" w:color="auto"/>
            <w:left w:val="none" w:sz="0" w:space="0" w:color="auto"/>
            <w:bottom w:val="none" w:sz="0" w:space="0" w:color="auto"/>
            <w:right w:val="none" w:sz="0" w:space="0" w:color="auto"/>
          </w:divBdr>
        </w:div>
        <w:div w:id="388192080">
          <w:marLeft w:val="0"/>
          <w:marRight w:val="0"/>
          <w:marTop w:val="0"/>
          <w:marBottom w:val="0"/>
          <w:divBdr>
            <w:top w:val="none" w:sz="0" w:space="0" w:color="auto"/>
            <w:left w:val="none" w:sz="0" w:space="0" w:color="auto"/>
            <w:bottom w:val="none" w:sz="0" w:space="0" w:color="auto"/>
            <w:right w:val="none" w:sz="0" w:space="0" w:color="auto"/>
          </w:divBdr>
        </w:div>
      </w:divsChild>
    </w:div>
    <w:div w:id="1125198891">
      <w:bodyDiv w:val="1"/>
      <w:marLeft w:val="0"/>
      <w:marRight w:val="0"/>
      <w:marTop w:val="0"/>
      <w:marBottom w:val="0"/>
      <w:divBdr>
        <w:top w:val="none" w:sz="0" w:space="0" w:color="auto"/>
        <w:left w:val="none" w:sz="0" w:space="0" w:color="auto"/>
        <w:bottom w:val="none" w:sz="0" w:space="0" w:color="auto"/>
        <w:right w:val="none" w:sz="0" w:space="0" w:color="auto"/>
      </w:divBdr>
      <w:divsChild>
        <w:div w:id="814031797">
          <w:marLeft w:val="0"/>
          <w:marRight w:val="0"/>
          <w:marTop w:val="0"/>
          <w:marBottom w:val="0"/>
          <w:divBdr>
            <w:top w:val="none" w:sz="0" w:space="0" w:color="auto"/>
            <w:left w:val="none" w:sz="0" w:space="0" w:color="auto"/>
            <w:bottom w:val="none" w:sz="0" w:space="0" w:color="auto"/>
            <w:right w:val="none" w:sz="0" w:space="0" w:color="auto"/>
          </w:divBdr>
        </w:div>
        <w:div w:id="1980567937">
          <w:marLeft w:val="0"/>
          <w:marRight w:val="0"/>
          <w:marTop w:val="0"/>
          <w:marBottom w:val="0"/>
          <w:divBdr>
            <w:top w:val="none" w:sz="0" w:space="0" w:color="auto"/>
            <w:left w:val="none" w:sz="0" w:space="0" w:color="auto"/>
            <w:bottom w:val="none" w:sz="0" w:space="0" w:color="auto"/>
            <w:right w:val="none" w:sz="0" w:space="0" w:color="auto"/>
          </w:divBdr>
        </w:div>
        <w:div w:id="168758698">
          <w:marLeft w:val="0"/>
          <w:marRight w:val="0"/>
          <w:marTop w:val="0"/>
          <w:marBottom w:val="0"/>
          <w:divBdr>
            <w:top w:val="none" w:sz="0" w:space="0" w:color="auto"/>
            <w:left w:val="none" w:sz="0" w:space="0" w:color="auto"/>
            <w:bottom w:val="none" w:sz="0" w:space="0" w:color="auto"/>
            <w:right w:val="none" w:sz="0" w:space="0" w:color="auto"/>
          </w:divBdr>
        </w:div>
      </w:divsChild>
    </w:div>
    <w:div w:id="1297032031">
      <w:bodyDiv w:val="1"/>
      <w:marLeft w:val="0"/>
      <w:marRight w:val="0"/>
      <w:marTop w:val="0"/>
      <w:marBottom w:val="0"/>
      <w:divBdr>
        <w:top w:val="none" w:sz="0" w:space="0" w:color="auto"/>
        <w:left w:val="none" w:sz="0" w:space="0" w:color="auto"/>
        <w:bottom w:val="none" w:sz="0" w:space="0" w:color="auto"/>
        <w:right w:val="none" w:sz="0" w:space="0" w:color="auto"/>
      </w:divBdr>
      <w:divsChild>
        <w:div w:id="1022631551">
          <w:marLeft w:val="0"/>
          <w:marRight w:val="0"/>
          <w:marTop w:val="0"/>
          <w:marBottom w:val="0"/>
          <w:divBdr>
            <w:top w:val="none" w:sz="0" w:space="0" w:color="auto"/>
            <w:left w:val="none" w:sz="0" w:space="0" w:color="auto"/>
            <w:bottom w:val="none" w:sz="0" w:space="0" w:color="auto"/>
            <w:right w:val="none" w:sz="0" w:space="0" w:color="auto"/>
          </w:divBdr>
        </w:div>
        <w:div w:id="86848567">
          <w:marLeft w:val="0"/>
          <w:marRight w:val="0"/>
          <w:marTop w:val="0"/>
          <w:marBottom w:val="0"/>
          <w:divBdr>
            <w:top w:val="none" w:sz="0" w:space="0" w:color="auto"/>
            <w:left w:val="none" w:sz="0" w:space="0" w:color="auto"/>
            <w:bottom w:val="none" w:sz="0" w:space="0" w:color="auto"/>
            <w:right w:val="none" w:sz="0" w:space="0" w:color="auto"/>
          </w:divBdr>
        </w:div>
        <w:div w:id="955328617">
          <w:marLeft w:val="0"/>
          <w:marRight w:val="0"/>
          <w:marTop w:val="0"/>
          <w:marBottom w:val="0"/>
          <w:divBdr>
            <w:top w:val="none" w:sz="0" w:space="0" w:color="auto"/>
            <w:left w:val="none" w:sz="0" w:space="0" w:color="auto"/>
            <w:bottom w:val="none" w:sz="0" w:space="0" w:color="auto"/>
            <w:right w:val="none" w:sz="0" w:space="0" w:color="auto"/>
          </w:divBdr>
        </w:div>
      </w:divsChild>
    </w:div>
    <w:div w:id="1715734088">
      <w:bodyDiv w:val="1"/>
      <w:marLeft w:val="0"/>
      <w:marRight w:val="0"/>
      <w:marTop w:val="0"/>
      <w:marBottom w:val="0"/>
      <w:divBdr>
        <w:top w:val="none" w:sz="0" w:space="0" w:color="auto"/>
        <w:left w:val="none" w:sz="0" w:space="0" w:color="auto"/>
        <w:bottom w:val="none" w:sz="0" w:space="0" w:color="auto"/>
        <w:right w:val="none" w:sz="0" w:space="0" w:color="auto"/>
      </w:divBdr>
    </w:div>
    <w:div w:id="199125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ixa.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jccoffice.cornell.edu/" TargetMode="External"/><Relationship Id="rId12" Type="http://schemas.openxmlformats.org/officeDocument/2006/relationships/hyperlink" Target="https://www.tandfonline.com/doi/full/10.1080/07448481.2023.220918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spa.org/report/expanding-the-frame-institutional-responses-to-students-accused-of-sexual-misconduc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spondent.ucsc.edu/" TargetMode="External"/><Relationship Id="rId4" Type="http://schemas.openxmlformats.org/officeDocument/2006/relationships/webSettings" Target="webSettings.xml"/><Relationship Id="rId9" Type="http://schemas.openxmlformats.org/officeDocument/2006/relationships/hyperlink" Target="https://masoc.ne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6</Pages>
  <Words>1871</Words>
  <Characters>10670</Characters>
  <Application>Microsoft Office Word</Application>
  <DocSecurity>0</DocSecurity>
  <Lines>88</Lines>
  <Paragraphs>25</Paragraphs>
  <ScaleCrop>false</ScaleCrop>
  <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A Grimmett</dc:creator>
  <cp:keywords/>
  <dc:description/>
  <cp:lastModifiedBy>Marc A Grimmett</cp:lastModifiedBy>
  <cp:revision>5</cp:revision>
  <dcterms:created xsi:type="dcterms:W3CDTF">2023-06-07T16:13:00Z</dcterms:created>
  <dcterms:modified xsi:type="dcterms:W3CDTF">2023-06-14T20:57:00Z</dcterms:modified>
</cp:coreProperties>
</file>